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overflowPunct w:val="0"/>
        <w:adjustRightInd/>
        <w:spacing w:line="480" w:lineRule="exact"/>
        <w:textAlignment w:val="auto"/>
        <w:rPr>
          <w:rFonts w:hint="eastAsia" w:ascii="宋体" w:hAnsi="宋体" w:eastAsia="宋体" w:cs="宋体"/>
          <w:sz w:val="32"/>
          <w:szCs w:val="32"/>
        </w:rPr>
      </w:pPr>
    </w:p>
    <w:p>
      <w:pPr>
        <w:overflowPunct w:val="0"/>
        <w:spacing w:line="480" w:lineRule="exact"/>
        <w:rPr>
          <w:rFonts w:hint="eastAsia" w:ascii="宋体" w:hAnsi="宋体" w:eastAsia="宋体" w:cs="宋体"/>
          <w:sz w:val="32"/>
          <w:szCs w:val="32"/>
        </w:rPr>
      </w:pPr>
    </w:p>
    <w:p>
      <w:pPr>
        <w:overflowPunct w:val="0"/>
        <w:spacing w:line="480" w:lineRule="exact"/>
        <w:rPr>
          <w:rFonts w:hint="eastAsia" w:ascii="宋体" w:hAnsi="宋体" w:eastAsia="宋体" w:cs="宋体"/>
          <w:sz w:val="32"/>
          <w:szCs w:val="32"/>
        </w:rPr>
      </w:pPr>
    </w:p>
    <w:p>
      <w:pPr>
        <w:tabs>
          <w:tab w:val="left" w:pos="6300"/>
        </w:tabs>
        <w:snapToGrid w:val="0"/>
        <w:spacing w:line="480" w:lineRule="exact"/>
        <w:jc w:val="center"/>
        <w:rPr>
          <w:rFonts w:hint="eastAsia" w:ascii="宋体" w:hAnsi="宋体" w:eastAsia="宋体" w:cs="宋体"/>
          <w:b/>
          <w:bCs/>
          <w:spacing w:val="-20"/>
          <w:sz w:val="48"/>
          <w:szCs w:val="48"/>
        </w:rPr>
      </w:pPr>
    </w:p>
    <w:p>
      <w:pPr>
        <w:tabs>
          <w:tab w:val="left" w:pos="6300"/>
        </w:tabs>
        <w:snapToGrid w:val="0"/>
        <w:spacing w:line="480" w:lineRule="exact"/>
        <w:jc w:val="center"/>
        <w:rPr>
          <w:rFonts w:hint="eastAsia" w:ascii="宋体" w:hAnsi="宋体" w:eastAsia="宋体" w:cs="宋体"/>
          <w:b/>
          <w:bCs/>
          <w:spacing w:val="-20"/>
          <w:sz w:val="48"/>
          <w:szCs w:val="48"/>
          <w:lang w:eastAsia="zh-CN"/>
        </w:rPr>
      </w:pPr>
      <w:r>
        <w:rPr>
          <w:rFonts w:hint="eastAsia" w:ascii="宋体" w:hAnsi="宋体" w:eastAsia="宋体" w:cs="宋体"/>
          <w:b/>
          <w:bCs/>
          <w:spacing w:val="-20"/>
          <w:sz w:val="48"/>
          <w:szCs w:val="48"/>
          <w:lang w:eastAsia="zh-CN"/>
        </w:rPr>
        <w:t>南通科技职业学院商务数据分析赛课融通平台采购项目</w:t>
      </w:r>
    </w:p>
    <w:p>
      <w:pPr>
        <w:tabs>
          <w:tab w:val="left" w:pos="6300"/>
        </w:tabs>
        <w:snapToGrid w:val="0"/>
        <w:spacing w:line="480" w:lineRule="exact"/>
        <w:jc w:val="center"/>
        <w:rPr>
          <w:rFonts w:hint="eastAsia" w:ascii="宋体" w:hAnsi="宋体" w:eastAsia="宋体" w:cs="宋体"/>
          <w:spacing w:val="-20"/>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r>
        <w:rPr>
          <w:rFonts w:hint="eastAsia" w:ascii="宋体" w:hAnsi="宋体" w:eastAsia="宋体" w:cs="宋体"/>
          <w:b/>
          <w:sz w:val="48"/>
          <w:szCs w:val="48"/>
        </w:rPr>
        <w:t xml:space="preserve">比选文件 </w:t>
      </w:r>
    </w:p>
    <w:p>
      <w:pPr>
        <w:pStyle w:val="15"/>
        <w:rPr>
          <w:rFonts w:hint="eastAsia" w:ascii="宋体" w:hAnsi="宋体" w:eastAsia="宋体" w:cs="宋体"/>
        </w:rPr>
      </w:pPr>
    </w:p>
    <w:p>
      <w:pPr>
        <w:snapToGrid w:val="0"/>
        <w:spacing w:line="480" w:lineRule="exact"/>
        <w:jc w:val="center"/>
        <w:rPr>
          <w:rFonts w:hint="eastAsia" w:ascii="宋体" w:hAnsi="宋体" w:eastAsia="宋体" w:cs="宋体"/>
          <w:b/>
          <w:bCs/>
          <w:sz w:val="48"/>
          <w:szCs w:val="48"/>
        </w:rPr>
      </w:pPr>
      <w:r>
        <w:rPr>
          <w:rFonts w:hint="eastAsia" w:ascii="宋体" w:hAnsi="宋体" w:eastAsia="宋体" w:cs="宋体"/>
          <w:w w:val="80"/>
          <w:sz w:val="48"/>
          <w:szCs w:val="48"/>
        </w:rPr>
        <w:t>（项目编号：NTKYBX2023(</w:t>
      </w:r>
      <w:r>
        <w:rPr>
          <w:rFonts w:hint="eastAsia" w:ascii="宋体" w:hAnsi="宋体" w:eastAsia="宋体" w:cs="宋体"/>
          <w:w w:val="80"/>
          <w:sz w:val="48"/>
          <w:szCs w:val="48"/>
          <w:lang w:eastAsia="zh-CN"/>
        </w:rPr>
        <w:t>0025</w:t>
      </w:r>
      <w:r>
        <w:rPr>
          <w:rFonts w:hint="eastAsia" w:ascii="宋体" w:hAnsi="宋体" w:eastAsia="宋体" w:cs="宋体"/>
          <w:w w:val="80"/>
          <w:sz w:val="48"/>
          <w:szCs w:val="48"/>
        </w:rPr>
        <w:t>)）</w:t>
      </w: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sz w:val="48"/>
          <w:szCs w:val="48"/>
        </w:rPr>
      </w:pPr>
      <w:r>
        <w:rPr>
          <w:rFonts w:hint="eastAsia" w:ascii="宋体" w:hAnsi="宋体" w:eastAsia="宋体" w:cs="宋体"/>
          <w:sz w:val="48"/>
          <w:szCs w:val="48"/>
        </w:rPr>
        <w:t>（资格后审）</w:t>
      </w:r>
    </w:p>
    <w:p>
      <w:pPr>
        <w:snapToGrid w:val="0"/>
        <w:spacing w:line="480" w:lineRule="exact"/>
        <w:jc w:val="center"/>
        <w:rPr>
          <w:rFonts w:hint="eastAsia" w:ascii="宋体" w:hAnsi="宋体" w:eastAsia="宋体" w:cs="宋体"/>
          <w:b/>
          <w:sz w:val="32"/>
          <w:szCs w:val="32"/>
        </w:rPr>
      </w:pPr>
    </w:p>
    <w:p>
      <w:pPr>
        <w:snapToGrid w:val="0"/>
        <w:spacing w:line="480" w:lineRule="exact"/>
        <w:jc w:val="center"/>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jc w:val="center"/>
        <w:rPr>
          <w:rFonts w:hint="eastAsia" w:ascii="宋体" w:hAnsi="宋体" w:eastAsia="宋体" w:cs="宋体"/>
          <w:b/>
          <w:sz w:val="32"/>
          <w:szCs w:val="32"/>
        </w:rPr>
      </w:pPr>
    </w:p>
    <w:p>
      <w:pPr>
        <w:snapToGrid w:val="0"/>
        <w:spacing w:line="480" w:lineRule="exact"/>
        <w:jc w:val="center"/>
        <w:rPr>
          <w:rFonts w:hint="eastAsia" w:ascii="宋体" w:hAnsi="宋体" w:eastAsia="宋体" w:cs="宋体"/>
          <w:b/>
          <w:bCs/>
          <w:sz w:val="36"/>
          <w:szCs w:val="36"/>
        </w:rPr>
      </w:pPr>
    </w:p>
    <w:p>
      <w:pPr>
        <w:snapToGrid w:val="0"/>
        <w:spacing w:line="480" w:lineRule="auto"/>
        <w:ind w:firstLine="1081" w:firstLineChars="300"/>
        <w:jc w:val="center"/>
        <w:rPr>
          <w:rFonts w:hint="eastAsia" w:ascii="宋体" w:hAnsi="宋体" w:eastAsia="宋体" w:cs="宋体"/>
          <w:b/>
          <w:bCs/>
          <w:sz w:val="36"/>
          <w:szCs w:val="36"/>
        </w:rPr>
      </w:pPr>
      <w:r>
        <w:rPr>
          <w:rFonts w:hint="eastAsia" w:ascii="宋体" w:hAnsi="宋体" w:eastAsia="宋体" w:cs="宋体"/>
          <w:b/>
          <w:bCs/>
          <w:sz w:val="36"/>
          <w:szCs w:val="36"/>
        </w:rPr>
        <w:t>采购人：南通科技职业学院</w:t>
      </w:r>
    </w:p>
    <w:p>
      <w:pPr>
        <w:adjustRightInd w:val="0"/>
        <w:snapToGrid w:val="0"/>
        <w:spacing w:line="480" w:lineRule="auto"/>
        <w:jc w:val="center"/>
        <w:rPr>
          <w:rFonts w:hint="eastAsia" w:ascii="宋体" w:hAnsi="宋体" w:eastAsia="宋体" w:cs="宋体"/>
          <w:b/>
          <w:bCs/>
          <w:sz w:val="36"/>
          <w:szCs w:val="36"/>
        </w:rPr>
      </w:pPr>
      <w:r>
        <w:rPr>
          <w:rFonts w:hint="eastAsia" w:ascii="宋体" w:hAnsi="宋体" w:eastAsia="宋体" w:cs="宋体"/>
          <w:b/>
          <w:bCs/>
          <w:sz w:val="36"/>
          <w:szCs w:val="36"/>
        </w:rPr>
        <w:t>招标代理机构：东方华星建设管理（江苏）有限公司</w:t>
      </w:r>
    </w:p>
    <w:p>
      <w:pPr>
        <w:adjustRightInd w:val="0"/>
        <w:snapToGrid w:val="0"/>
        <w:spacing w:line="480" w:lineRule="auto"/>
        <w:ind w:firstLine="1081" w:firstLineChars="300"/>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rPr>
        <w:t>二○二三年</w:t>
      </w:r>
      <w:r>
        <w:rPr>
          <w:rFonts w:hint="eastAsia" w:ascii="宋体" w:hAnsi="宋体" w:eastAsia="宋体" w:cs="宋体"/>
          <w:b/>
          <w:bCs/>
          <w:sz w:val="36"/>
          <w:szCs w:val="36"/>
          <w:lang w:val="en-US" w:eastAsia="zh-CN"/>
        </w:rPr>
        <w:t>十二</w:t>
      </w:r>
      <w:r>
        <w:rPr>
          <w:rFonts w:hint="eastAsia" w:ascii="宋体" w:hAnsi="宋体" w:eastAsia="宋体" w:cs="宋体"/>
          <w:b/>
          <w:bCs/>
          <w:sz w:val="36"/>
          <w:szCs w:val="36"/>
        </w:rPr>
        <w:t>月</w:t>
      </w:r>
      <w:r>
        <w:rPr>
          <w:rFonts w:hint="eastAsia" w:ascii="宋体" w:hAnsi="宋体" w:eastAsia="宋体" w:cs="宋体"/>
          <w:b/>
          <w:bCs/>
          <w:sz w:val="36"/>
          <w:szCs w:val="36"/>
          <w:lang w:val="en-US" w:eastAsia="zh-CN"/>
        </w:rPr>
        <w:t>二十六日</w:t>
      </w:r>
    </w:p>
    <w:p>
      <w:pPr>
        <w:pStyle w:val="17"/>
        <w:spacing w:line="480" w:lineRule="exact"/>
        <w:ind w:firstLine="640"/>
        <w:rPr>
          <w:rFonts w:hint="eastAsia" w:ascii="宋体" w:hAnsi="宋体" w:eastAsia="宋体" w:cs="宋体"/>
          <w:color w:val="FF0000"/>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pStyle w:val="5"/>
        <w:overflowPunct w:val="0"/>
        <w:spacing w:line="480" w:lineRule="exact"/>
        <w:ind w:firstLine="0"/>
        <w:jc w:val="center"/>
        <w:rPr>
          <w:rFonts w:hint="eastAsia" w:ascii="宋体" w:hAnsi="宋体" w:eastAsia="宋体" w:cs="宋体"/>
          <w:b/>
          <w:sz w:val="52"/>
          <w:szCs w:val="52"/>
        </w:rPr>
      </w:pPr>
      <w:r>
        <w:rPr>
          <w:rFonts w:hint="eastAsia" w:ascii="宋体" w:hAnsi="宋体" w:eastAsia="宋体" w:cs="宋体"/>
          <w:b/>
          <w:sz w:val="52"/>
          <w:szCs w:val="52"/>
        </w:rPr>
        <w:t>目  录</w:t>
      </w:r>
    </w:p>
    <w:p>
      <w:pPr>
        <w:adjustRightInd w:val="0"/>
        <w:snapToGrid w:val="0"/>
        <w:spacing w:line="480" w:lineRule="exact"/>
        <w:jc w:val="center"/>
        <w:rPr>
          <w:rFonts w:hint="eastAsia" w:ascii="宋体" w:hAnsi="宋体" w:eastAsia="宋体" w:cs="宋体"/>
          <w:sz w:val="32"/>
          <w:szCs w:val="32"/>
        </w:rPr>
      </w:pPr>
    </w:p>
    <w:p>
      <w:pPr>
        <w:pStyle w:val="14"/>
        <w:tabs>
          <w:tab w:val="right" w:leader="dot" w:pos="9214"/>
        </w:tabs>
        <w:spacing w:line="480" w:lineRule="auto"/>
        <w:ind w:firstLine="961" w:firstLineChars="300"/>
        <w:rPr>
          <w:rFonts w:hint="eastAsia" w:ascii="宋体" w:hAnsi="宋体" w:eastAsia="宋体" w:cs="宋体"/>
          <w:sz w:val="44"/>
          <w:szCs w:val="44"/>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TOC \o "1-1"</w:instrText>
      </w:r>
      <w:r>
        <w:rPr>
          <w:rFonts w:hint="eastAsia" w:ascii="宋体" w:hAnsi="宋体" w:eastAsia="宋体" w:cs="宋体"/>
          <w:b/>
          <w:bCs/>
          <w:sz w:val="32"/>
          <w:szCs w:val="32"/>
        </w:rPr>
        <w:fldChar w:fldCharType="separate"/>
      </w:r>
      <w:r>
        <w:rPr>
          <w:rFonts w:hint="eastAsia" w:ascii="宋体" w:hAnsi="宋体" w:eastAsia="宋体" w:cs="宋体"/>
          <w:sz w:val="44"/>
          <w:szCs w:val="44"/>
        </w:rPr>
        <w:t>第一章 比选公告</w:t>
      </w:r>
    </w:p>
    <w:p>
      <w:pPr>
        <w:pStyle w:val="14"/>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第二章 供应商须知</w:t>
      </w:r>
    </w:p>
    <w:p>
      <w:pPr>
        <w:pStyle w:val="14"/>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第三章 项目需求</w:t>
      </w:r>
    </w:p>
    <w:p>
      <w:pPr>
        <w:pStyle w:val="14"/>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第四章 评审方法和程序</w:t>
      </w:r>
    </w:p>
    <w:p>
      <w:pPr>
        <w:pStyle w:val="14"/>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第五章 合同授予</w:t>
      </w:r>
    </w:p>
    <w:p>
      <w:pPr>
        <w:pStyle w:val="14"/>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第六章 响应文件格式</w:t>
      </w:r>
    </w:p>
    <w:p>
      <w:pPr>
        <w:tabs>
          <w:tab w:val="right" w:leader="dot" w:pos="9214"/>
        </w:tabs>
        <w:spacing w:line="480" w:lineRule="exact"/>
        <w:ind w:firstLine="566" w:firstLineChars="177"/>
        <w:rPr>
          <w:rFonts w:hint="eastAsia" w:ascii="宋体" w:hAnsi="宋体" w:eastAsia="宋体" w:cs="宋体"/>
          <w:sz w:val="32"/>
          <w:szCs w:val="32"/>
        </w:rPr>
      </w:pPr>
    </w:p>
    <w:p>
      <w:pPr>
        <w:adjustRightInd w:val="0"/>
        <w:snapToGrid w:val="0"/>
        <w:spacing w:line="480" w:lineRule="exact"/>
        <w:jc w:val="center"/>
        <w:rPr>
          <w:rFonts w:hint="eastAsia" w:ascii="宋体" w:hAnsi="宋体" w:eastAsia="宋体" w:cs="宋体"/>
          <w:sz w:val="32"/>
          <w:szCs w:val="32"/>
        </w:rPr>
      </w:pPr>
      <w:r>
        <w:rPr>
          <w:rFonts w:hint="eastAsia" w:ascii="宋体" w:hAnsi="宋体" w:eastAsia="宋体" w:cs="宋体"/>
          <w:b/>
          <w:bCs/>
          <w:sz w:val="32"/>
          <w:szCs w:val="32"/>
        </w:rPr>
        <w:fldChar w:fldCharType="end"/>
      </w:r>
    </w:p>
    <w:p>
      <w:pPr>
        <w:snapToGrid w:val="0"/>
        <w:spacing w:line="480" w:lineRule="exact"/>
        <w:rPr>
          <w:rFonts w:hint="eastAsia" w:ascii="宋体" w:hAnsi="宋体" w:eastAsia="宋体" w:cs="宋体"/>
          <w:sz w:val="32"/>
          <w:szCs w:val="32"/>
        </w:rPr>
      </w:pPr>
    </w:p>
    <w:p>
      <w:pPr>
        <w:snapToGrid w:val="0"/>
        <w:spacing w:line="480" w:lineRule="exact"/>
        <w:rPr>
          <w:rFonts w:hint="eastAsia" w:ascii="宋体" w:hAnsi="宋体" w:eastAsia="宋体" w:cs="宋体"/>
          <w:sz w:val="32"/>
          <w:szCs w:val="32"/>
        </w:rPr>
      </w:pPr>
    </w:p>
    <w:p>
      <w:pPr>
        <w:snapToGrid w:val="0"/>
        <w:spacing w:line="480" w:lineRule="exact"/>
        <w:rPr>
          <w:rFonts w:hint="eastAsia" w:ascii="宋体" w:hAnsi="宋体" w:eastAsia="宋体" w:cs="宋体"/>
          <w:sz w:val="32"/>
          <w:szCs w:val="32"/>
        </w:rPr>
      </w:pPr>
      <w:bookmarkStart w:id="0" w:name="_Toc363573853"/>
    </w:p>
    <w:p>
      <w:pPr>
        <w:spacing w:line="480" w:lineRule="exact"/>
        <w:rPr>
          <w:rFonts w:hint="eastAsia" w:ascii="宋体" w:hAnsi="宋体" w:eastAsia="宋体" w:cs="宋体"/>
          <w:sz w:val="32"/>
          <w:szCs w:val="32"/>
        </w:rPr>
      </w:pPr>
      <w:r>
        <w:rPr>
          <w:rFonts w:hint="eastAsia" w:ascii="宋体" w:hAnsi="宋体" w:eastAsia="宋体" w:cs="宋体"/>
          <w:sz w:val="32"/>
          <w:szCs w:val="32"/>
        </w:rPr>
        <w:br w:type="page"/>
      </w:r>
    </w:p>
    <w:p>
      <w:pPr>
        <w:snapToGrid w:val="0"/>
        <w:spacing w:line="480" w:lineRule="exact"/>
        <w:rPr>
          <w:rFonts w:hint="eastAsia" w:ascii="宋体" w:hAnsi="宋体" w:eastAsia="宋体" w:cs="宋体"/>
          <w:sz w:val="32"/>
          <w:szCs w:val="32"/>
        </w:rPr>
      </w:pPr>
      <w:r>
        <w:rPr>
          <w:rFonts w:hint="eastAsia" w:ascii="宋体" w:hAnsi="宋体" w:eastAsia="宋体" w:cs="宋体"/>
          <w:sz w:val="32"/>
          <w:szCs w:val="32"/>
        </w:rPr>
        <w:t>尊敬的响应供应商（以下称供应商）：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欢迎参加本采购项目的比选。为了保证本次采购活动顺利进行，请在制作招标响应文件（以下称响应文件）之前，仔细阅读本比选文件的各项条款，并按要求制作和递交响应文件。谢谢合作！</w:t>
      </w:r>
    </w:p>
    <w:p>
      <w:pPr>
        <w:tabs>
          <w:tab w:val="left" w:pos="1050"/>
          <w:tab w:val="right" w:leader="dot" w:pos="9402"/>
        </w:tabs>
        <w:spacing w:before="570" w:beforeLines="150" w:line="480" w:lineRule="exact"/>
        <w:jc w:val="center"/>
        <w:outlineLvl w:val="0"/>
        <w:rPr>
          <w:rFonts w:hint="eastAsia" w:ascii="宋体" w:hAnsi="宋体" w:eastAsia="宋体" w:cs="宋体"/>
          <w:b/>
          <w:color w:val="auto"/>
          <w:w w:val="80"/>
          <w:sz w:val="32"/>
          <w:szCs w:val="32"/>
        </w:rPr>
      </w:pPr>
      <w:r>
        <w:rPr>
          <w:rFonts w:hint="eastAsia" w:ascii="宋体" w:hAnsi="宋体" w:eastAsia="宋体" w:cs="宋体"/>
          <w:b/>
          <w:color w:val="auto"/>
          <w:w w:val="80"/>
          <w:sz w:val="32"/>
          <w:szCs w:val="32"/>
        </w:rPr>
        <w:t xml:space="preserve">第一章  </w:t>
      </w:r>
      <w:bookmarkEnd w:id="0"/>
      <w:r>
        <w:rPr>
          <w:rFonts w:hint="eastAsia" w:ascii="宋体" w:hAnsi="宋体" w:eastAsia="宋体" w:cs="宋体"/>
          <w:b/>
          <w:color w:val="auto"/>
          <w:w w:val="80"/>
          <w:sz w:val="32"/>
          <w:szCs w:val="32"/>
        </w:rPr>
        <w:t>比选公告</w:t>
      </w:r>
    </w:p>
    <w:p>
      <w:pPr>
        <w:snapToGrid w:val="0"/>
        <w:spacing w:line="480" w:lineRule="exact"/>
        <w:ind w:firstLine="640" w:firstLineChars="200"/>
        <w:rPr>
          <w:rFonts w:hint="eastAsia" w:ascii="宋体" w:hAnsi="宋体" w:eastAsia="宋体" w:cs="宋体"/>
          <w:color w:val="auto"/>
          <w:sz w:val="32"/>
          <w:szCs w:val="32"/>
          <w:u w:val="single"/>
        </w:rPr>
      </w:pPr>
      <w:r>
        <w:rPr>
          <w:rFonts w:hint="eastAsia" w:ascii="宋体" w:hAnsi="宋体" w:eastAsia="宋体" w:cs="宋体"/>
          <w:color w:val="auto"/>
          <w:sz w:val="32"/>
          <w:szCs w:val="32"/>
        </w:rPr>
        <w:t>东方华星建设管理（江苏）有限公司（以下称招标代理机构）受南通科技职业学院（以下称采购人）的委托，就</w:t>
      </w:r>
      <w:r>
        <w:rPr>
          <w:rFonts w:hint="eastAsia" w:ascii="宋体" w:hAnsi="宋体" w:eastAsia="宋体" w:cs="宋体"/>
          <w:color w:val="auto"/>
          <w:sz w:val="32"/>
          <w:szCs w:val="32"/>
          <w:lang w:eastAsia="zh-CN"/>
        </w:rPr>
        <w:t>南通科技职业学院商务数据分析赛课融通平台采购项目</w:t>
      </w:r>
      <w:r>
        <w:rPr>
          <w:rFonts w:hint="eastAsia" w:ascii="宋体" w:hAnsi="宋体" w:eastAsia="宋体" w:cs="宋体"/>
          <w:color w:val="auto"/>
          <w:sz w:val="32"/>
          <w:szCs w:val="32"/>
        </w:rPr>
        <w:t>(项目编号:NTKYBX2023(</w:t>
      </w:r>
      <w:r>
        <w:rPr>
          <w:rFonts w:hint="eastAsia" w:ascii="宋体" w:hAnsi="宋体" w:eastAsia="宋体" w:cs="宋体"/>
          <w:color w:val="auto"/>
          <w:sz w:val="32"/>
          <w:szCs w:val="32"/>
          <w:lang w:eastAsia="zh-CN"/>
        </w:rPr>
        <w:t>0025</w:t>
      </w:r>
      <w:r>
        <w:rPr>
          <w:rFonts w:hint="eastAsia" w:ascii="宋体" w:hAnsi="宋体" w:eastAsia="宋体" w:cs="宋体"/>
          <w:color w:val="auto"/>
          <w:sz w:val="32"/>
          <w:szCs w:val="32"/>
        </w:rPr>
        <w:t>)）组织比选，诚邀符合条件的潜在供应商参加。</w:t>
      </w:r>
    </w:p>
    <w:p>
      <w:pPr>
        <w:snapToGrid w:val="0"/>
        <w:spacing w:line="48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一、项目名称：</w:t>
      </w:r>
      <w:r>
        <w:rPr>
          <w:rFonts w:hint="eastAsia" w:ascii="宋体" w:hAnsi="宋体" w:eastAsia="宋体" w:cs="宋体"/>
          <w:color w:val="auto"/>
          <w:sz w:val="32"/>
          <w:szCs w:val="32"/>
          <w:lang w:eastAsia="zh-CN"/>
        </w:rPr>
        <w:t>南通科技职业学院商务数据分析赛课融通平台采购项目</w:t>
      </w:r>
      <w:r>
        <w:rPr>
          <w:rFonts w:hint="eastAsia" w:ascii="宋体" w:hAnsi="宋体" w:eastAsia="宋体" w:cs="宋体"/>
          <w:color w:val="auto"/>
          <w:sz w:val="32"/>
          <w:szCs w:val="32"/>
        </w:rPr>
        <w:t>；</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二、项目内容：具体详见项目需求；</w:t>
      </w:r>
    </w:p>
    <w:p>
      <w:pPr>
        <w:spacing w:line="480" w:lineRule="exact"/>
        <w:ind w:firstLine="640" w:firstLineChars="200"/>
        <w:rPr>
          <w:rFonts w:hint="eastAsia" w:ascii="宋体" w:hAnsi="宋体" w:eastAsia="宋体" w:cs="宋体"/>
          <w:color w:val="auto"/>
          <w:sz w:val="32"/>
          <w:szCs w:val="32"/>
          <w:u w:val="single"/>
        </w:rPr>
      </w:pPr>
      <w:r>
        <w:rPr>
          <w:rFonts w:hint="eastAsia" w:ascii="宋体" w:hAnsi="宋体" w:eastAsia="宋体" w:cs="宋体"/>
          <w:color w:val="auto"/>
          <w:sz w:val="32"/>
          <w:szCs w:val="32"/>
        </w:rPr>
        <w:t>三、项目</w:t>
      </w:r>
      <w:r>
        <w:rPr>
          <w:rFonts w:hint="eastAsia" w:ascii="宋体" w:hAnsi="宋体" w:eastAsia="宋体" w:cs="宋体"/>
          <w:color w:val="auto"/>
          <w:sz w:val="32"/>
          <w:szCs w:val="32"/>
          <w:lang w:val="en-US" w:eastAsia="zh-CN"/>
        </w:rPr>
        <w:t>限价</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360000</w:t>
      </w:r>
      <w:r>
        <w:rPr>
          <w:rFonts w:hint="eastAsia" w:ascii="宋体" w:hAnsi="宋体" w:eastAsia="宋体" w:cs="宋体"/>
          <w:color w:val="auto"/>
          <w:sz w:val="32"/>
          <w:szCs w:val="32"/>
        </w:rPr>
        <w:t>元；</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四、</w:t>
      </w:r>
      <w:r>
        <w:rPr>
          <w:rFonts w:hint="eastAsia" w:ascii="宋体" w:hAnsi="宋体" w:eastAsia="宋体" w:cs="宋体"/>
          <w:color w:val="auto"/>
          <w:sz w:val="32"/>
          <w:szCs w:val="32"/>
        </w:rPr>
        <w:t>交货期：自合同签定之日起 10天内</w:t>
      </w:r>
      <w:r>
        <w:rPr>
          <w:rFonts w:hint="eastAsia" w:ascii="宋体" w:hAnsi="宋体" w:eastAsia="宋体" w:cs="宋体"/>
          <w:color w:val="auto"/>
          <w:sz w:val="32"/>
          <w:szCs w:val="32"/>
          <w:lang w:eastAsia="zh-Hans"/>
        </w:rPr>
        <w:t>；</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五、供应商资格：</w:t>
      </w:r>
    </w:p>
    <w:p>
      <w:pPr>
        <w:pStyle w:val="17"/>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pStyle w:val="17"/>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2、采购人其它要求：</w:t>
      </w:r>
    </w:p>
    <w:p>
      <w:pPr>
        <w:pStyle w:val="17"/>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（1）供应商必须具有有效的营业执照；</w:t>
      </w:r>
    </w:p>
    <w:p>
      <w:pPr>
        <w:pStyle w:val="17"/>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（2）法定代表人为同一个人的两个及两个以上法人，母公司、全资子公司及其控股公司，都不得在同一采购项目相同标段中同时响应，一经发现，将视同围标处理。</w:t>
      </w:r>
    </w:p>
    <w:p>
      <w:pPr>
        <w:pStyle w:val="17"/>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（3）未被“信用中国”网站列入失信被执行人、重大税收违法案件当事人名单、采购严重失信行为记录名单。</w:t>
      </w:r>
    </w:p>
    <w:p>
      <w:pPr>
        <w:pStyle w:val="17"/>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（4）法定代表人参加响应的，必须提供法定代表人身份证明（格式参见第六章）；非法定代表人参加响应的，必须提供法定代表人签名或盖章的授权委托书（格式参见第六章）。</w:t>
      </w:r>
    </w:p>
    <w:p>
      <w:pPr>
        <w:pStyle w:val="17"/>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（5）本项目不接受联合体响应。</w:t>
      </w:r>
    </w:p>
    <w:p>
      <w:pPr>
        <w:pStyle w:val="17"/>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六、比选文件的获取</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1、时间：自本公告发布之日起至202</w:t>
      </w:r>
      <w:r>
        <w:rPr>
          <w:rFonts w:hint="eastAsia" w:ascii="宋体" w:hAnsi="宋体" w:eastAsia="宋体" w:cs="宋体"/>
          <w:bCs/>
          <w:color w:val="auto"/>
          <w:sz w:val="32"/>
          <w:szCs w:val="32"/>
          <w:lang w:val="en-US" w:eastAsia="zh-CN"/>
        </w:rPr>
        <w:t>4</w:t>
      </w:r>
      <w:r>
        <w:rPr>
          <w:rFonts w:hint="eastAsia" w:ascii="宋体" w:hAnsi="宋体" w:eastAsia="宋体" w:cs="宋体"/>
          <w:bCs/>
          <w:color w:val="auto"/>
          <w:sz w:val="32"/>
          <w:szCs w:val="32"/>
        </w:rPr>
        <w:t>年</w:t>
      </w:r>
      <w:r>
        <w:rPr>
          <w:rFonts w:hint="eastAsia" w:ascii="宋体" w:hAnsi="宋体" w:eastAsia="宋体" w:cs="宋体"/>
          <w:bCs/>
          <w:color w:val="auto"/>
          <w:sz w:val="32"/>
          <w:szCs w:val="32"/>
          <w:lang w:val="en-US" w:eastAsia="zh-CN"/>
        </w:rPr>
        <w:t>01</w:t>
      </w:r>
      <w:r>
        <w:rPr>
          <w:rFonts w:hint="eastAsia" w:ascii="宋体" w:hAnsi="宋体" w:eastAsia="宋体" w:cs="宋体"/>
          <w:bCs/>
          <w:color w:val="auto"/>
          <w:sz w:val="32"/>
          <w:szCs w:val="32"/>
        </w:rPr>
        <w:t>月</w:t>
      </w:r>
      <w:r>
        <w:rPr>
          <w:rFonts w:hint="eastAsia" w:ascii="宋体" w:hAnsi="宋体" w:eastAsia="宋体" w:cs="宋体"/>
          <w:bCs/>
          <w:color w:val="auto"/>
          <w:sz w:val="32"/>
          <w:szCs w:val="32"/>
          <w:lang w:val="en-US" w:eastAsia="zh-CN"/>
        </w:rPr>
        <w:t>07</w:t>
      </w:r>
      <w:r>
        <w:rPr>
          <w:rFonts w:hint="eastAsia" w:ascii="宋体" w:hAnsi="宋体" w:eastAsia="宋体" w:cs="宋体"/>
          <w:bCs/>
          <w:color w:val="auto"/>
          <w:sz w:val="32"/>
          <w:szCs w:val="32"/>
        </w:rPr>
        <w:t>日（北京时间，法定节假日除外）</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2、地点：南通科技职业学院官网</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3、方式：自行下载</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4、有关本次采购的事项若存在变动或修改，敬请及时关注“南通科技职业学院官网”发布的信息更正公告，恕不另行通知，如有遗漏采购单位概不负责。</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七、响应文件的提交</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1、截止时间：</w:t>
      </w:r>
      <w:r>
        <w:rPr>
          <w:rFonts w:hint="eastAsia" w:ascii="宋体" w:hAnsi="宋体" w:eastAsia="宋体" w:cs="宋体"/>
          <w:bCs/>
          <w:color w:val="auto"/>
          <w:sz w:val="32"/>
          <w:szCs w:val="32"/>
          <w:u w:val="single"/>
        </w:rPr>
        <w:t>202</w:t>
      </w:r>
      <w:r>
        <w:rPr>
          <w:rFonts w:hint="eastAsia" w:ascii="宋体" w:hAnsi="宋体" w:eastAsia="宋体" w:cs="宋体"/>
          <w:bCs/>
          <w:color w:val="auto"/>
          <w:sz w:val="32"/>
          <w:szCs w:val="32"/>
          <w:u w:val="single"/>
          <w:lang w:val="en-US" w:eastAsia="zh-CN"/>
        </w:rPr>
        <w:t>4</w:t>
      </w:r>
      <w:r>
        <w:rPr>
          <w:rFonts w:hint="eastAsia" w:ascii="宋体" w:hAnsi="宋体" w:eastAsia="宋体" w:cs="宋体"/>
          <w:bCs/>
          <w:color w:val="auto"/>
          <w:sz w:val="32"/>
          <w:szCs w:val="32"/>
          <w:u w:val="single"/>
        </w:rPr>
        <w:t>年</w:t>
      </w:r>
      <w:r>
        <w:rPr>
          <w:rFonts w:hint="eastAsia" w:ascii="宋体" w:hAnsi="宋体" w:eastAsia="宋体" w:cs="宋体"/>
          <w:bCs/>
          <w:color w:val="auto"/>
          <w:sz w:val="32"/>
          <w:szCs w:val="32"/>
          <w:u w:val="single"/>
          <w:lang w:val="en-US" w:eastAsia="zh-CN"/>
        </w:rPr>
        <w:t>01</w:t>
      </w:r>
      <w:r>
        <w:rPr>
          <w:rFonts w:hint="eastAsia" w:ascii="宋体" w:hAnsi="宋体" w:eastAsia="宋体" w:cs="宋体"/>
          <w:bCs/>
          <w:color w:val="auto"/>
          <w:sz w:val="32"/>
          <w:szCs w:val="32"/>
          <w:u w:val="single"/>
        </w:rPr>
        <w:t>月</w:t>
      </w:r>
      <w:r>
        <w:rPr>
          <w:rFonts w:hint="eastAsia" w:ascii="宋体" w:hAnsi="宋体" w:eastAsia="宋体" w:cs="宋体"/>
          <w:bCs/>
          <w:color w:val="auto"/>
          <w:sz w:val="32"/>
          <w:szCs w:val="32"/>
          <w:u w:val="single"/>
          <w:lang w:val="en-US" w:eastAsia="zh-CN"/>
        </w:rPr>
        <w:t>08</w:t>
      </w:r>
      <w:r>
        <w:rPr>
          <w:rFonts w:hint="eastAsia" w:ascii="宋体" w:hAnsi="宋体" w:eastAsia="宋体" w:cs="宋体"/>
          <w:bCs/>
          <w:color w:val="auto"/>
          <w:sz w:val="32"/>
          <w:szCs w:val="32"/>
          <w:u w:val="single"/>
        </w:rPr>
        <w:t>日</w:t>
      </w:r>
      <w:r>
        <w:rPr>
          <w:rFonts w:hint="eastAsia" w:ascii="宋体" w:hAnsi="宋体" w:eastAsia="宋体" w:cs="宋体"/>
          <w:b/>
          <w:color w:val="auto"/>
          <w:sz w:val="32"/>
          <w:szCs w:val="32"/>
          <w:u w:val="single"/>
        </w:rPr>
        <w:t>09点30分</w:t>
      </w:r>
      <w:r>
        <w:rPr>
          <w:rFonts w:hint="eastAsia" w:ascii="宋体" w:hAnsi="宋体" w:eastAsia="宋体" w:cs="宋体"/>
          <w:bCs/>
          <w:color w:val="auto"/>
          <w:sz w:val="32"/>
          <w:szCs w:val="32"/>
        </w:rPr>
        <w:t>（北京时间）</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2、地点：</w:t>
      </w:r>
      <w:r>
        <w:rPr>
          <w:rFonts w:hint="eastAsia" w:ascii="宋体" w:hAnsi="宋体" w:eastAsia="宋体" w:cs="宋体"/>
          <w:b/>
          <w:color w:val="auto"/>
          <w:sz w:val="32"/>
          <w:szCs w:val="32"/>
          <w:u w:val="single"/>
        </w:rPr>
        <w:t>南通科技职业学院（南通市青年中路136号立德楼513室），如有变动另行通知</w:t>
      </w:r>
      <w:r>
        <w:rPr>
          <w:rFonts w:hint="eastAsia" w:ascii="宋体" w:hAnsi="宋体" w:eastAsia="宋体" w:cs="宋体"/>
          <w:bCs/>
          <w:color w:val="auto"/>
          <w:sz w:val="32"/>
          <w:szCs w:val="32"/>
        </w:rPr>
        <w:t>。</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八、响应文件的开启</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开启时间：</w:t>
      </w:r>
      <w:r>
        <w:rPr>
          <w:rFonts w:hint="eastAsia" w:ascii="宋体" w:hAnsi="宋体" w:eastAsia="宋体" w:cs="宋体"/>
          <w:bCs/>
          <w:color w:val="auto"/>
          <w:sz w:val="32"/>
          <w:szCs w:val="32"/>
          <w:u w:val="single"/>
        </w:rPr>
        <w:t>202</w:t>
      </w:r>
      <w:r>
        <w:rPr>
          <w:rFonts w:hint="eastAsia" w:ascii="宋体" w:hAnsi="宋体" w:eastAsia="宋体" w:cs="宋体"/>
          <w:bCs/>
          <w:color w:val="auto"/>
          <w:sz w:val="32"/>
          <w:szCs w:val="32"/>
          <w:u w:val="single"/>
          <w:lang w:val="en-US" w:eastAsia="zh-CN"/>
        </w:rPr>
        <w:t>4</w:t>
      </w:r>
      <w:r>
        <w:rPr>
          <w:rFonts w:hint="eastAsia" w:ascii="宋体" w:hAnsi="宋体" w:eastAsia="宋体" w:cs="宋体"/>
          <w:bCs/>
          <w:color w:val="auto"/>
          <w:sz w:val="32"/>
          <w:szCs w:val="32"/>
          <w:u w:val="single"/>
        </w:rPr>
        <w:t>年</w:t>
      </w:r>
      <w:r>
        <w:rPr>
          <w:rFonts w:hint="eastAsia" w:ascii="宋体" w:hAnsi="宋体" w:eastAsia="宋体" w:cs="宋体"/>
          <w:bCs/>
          <w:color w:val="auto"/>
          <w:sz w:val="32"/>
          <w:szCs w:val="32"/>
          <w:u w:val="single"/>
          <w:lang w:val="en-US" w:eastAsia="zh-CN"/>
        </w:rPr>
        <w:t>01</w:t>
      </w:r>
      <w:r>
        <w:rPr>
          <w:rFonts w:hint="eastAsia" w:ascii="宋体" w:hAnsi="宋体" w:eastAsia="宋体" w:cs="宋体"/>
          <w:bCs/>
          <w:color w:val="auto"/>
          <w:sz w:val="32"/>
          <w:szCs w:val="32"/>
          <w:u w:val="single"/>
        </w:rPr>
        <w:t>月</w:t>
      </w:r>
      <w:r>
        <w:rPr>
          <w:rFonts w:hint="eastAsia" w:ascii="宋体" w:hAnsi="宋体" w:eastAsia="宋体" w:cs="宋体"/>
          <w:bCs/>
          <w:color w:val="auto"/>
          <w:sz w:val="32"/>
          <w:szCs w:val="32"/>
          <w:u w:val="single"/>
          <w:lang w:val="en-US" w:eastAsia="zh-CN"/>
        </w:rPr>
        <w:t>08</w:t>
      </w:r>
      <w:r>
        <w:rPr>
          <w:rFonts w:hint="eastAsia" w:ascii="宋体" w:hAnsi="宋体" w:eastAsia="宋体" w:cs="宋体"/>
          <w:bCs/>
          <w:color w:val="auto"/>
          <w:sz w:val="32"/>
          <w:szCs w:val="32"/>
          <w:u w:val="single"/>
        </w:rPr>
        <w:t>日</w:t>
      </w:r>
      <w:r>
        <w:rPr>
          <w:rFonts w:hint="eastAsia" w:ascii="宋体" w:hAnsi="宋体" w:eastAsia="宋体" w:cs="宋体"/>
          <w:b/>
          <w:color w:val="auto"/>
          <w:sz w:val="32"/>
          <w:szCs w:val="32"/>
          <w:u w:val="single"/>
        </w:rPr>
        <w:t>09点30分</w:t>
      </w:r>
      <w:r>
        <w:rPr>
          <w:rFonts w:hint="eastAsia" w:ascii="宋体" w:hAnsi="宋体" w:eastAsia="宋体" w:cs="宋体"/>
          <w:bCs/>
          <w:color w:val="auto"/>
          <w:sz w:val="32"/>
          <w:szCs w:val="32"/>
        </w:rPr>
        <w:t xml:space="preserve"> (北京时间)；</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开启地点：</w:t>
      </w:r>
      <w:r>
        <w:rPr>
          <w:rFonts w:hint="eastAsia" w:ascii="宋体" w:hAnsi="宋体" w:eastAsia="宋体" w:cs="宋体"/>
          <w:b/>
          <w:color w:val="auto"/>
          <w:sz w:val="32"/>
          <w:szCs w:val="32"/>
          <w:u w:val="single"/>
        </w:rPr>
        <w:t>南通科技职业学院（南通市青年中路136号立德楼511室），如有变动另行通知</w:t>
      </w:r>
      <w:r>
        <w:rPr>
          <w:rFonts w:hint="eastAsia" w:ascii="宋体" w:hAnsi="宋体" w:eastAsia="宋体" w:cs="宋体"/>
          <w:bCs/>
          <w:color w:val="auto"/>
          <w:sz w:val="32"/>
          <w:szCs w:val="32"/>
        </w:rPr>
        <w:t>。</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九、公告期限</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自本公告发布之日起3个工作日。</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十、其他补充事宜</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1、响应保证金：免收</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2、项目开启模式：现场开启</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3、项目演示、样品、答辩等：</w:t>
      </w:r>
      <w:r>
        <w:rPr>
          <w:rFonts w:hint="eastAsia" w:ascii="宋体" w:hAnsi="宋体" w:eastAsia="宋体" w:cs="宋体"/>
          <w:bCs/>
          <w:color w:val="auto"/>
          <w:sz w:val="32"/>
          <w:szCs w:val="32"/>
          <w:lang w:val="en-US" w:eastAsia="zh-CN"/>
        </w:rPr>
        <w:t>详见第四部分</w:t>
      </w:r>
      <w:r>
        <w:rPr>
          <w:rFonts w:hint="eastAsia" w:ascii="宋体" w:hAnsi="宋体" w:eastAsia="宋体" w:cs="宋体"/>
          <w:bCs/>
          <w:color w:val="auto"/>
          <w:sz w:val="32"/>
          <w:szCs w:val="32"/>
        </w:rPr>
        <w:t>。</w:t>
      </w:r>
    </w:p>
    <w:p>
      <w:pPr>
        <w:pStyle w:val="17"/>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4、对项目需求部分（供应商资格要求、项目需求、商务技术评分标准）的询问、质疑请向采购人提出，由采购人负责答复；对采购文件其它部分的询问请向采购文件制作人或项目开启评审经办人提出。</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十一、采购联系方式：</w:t>
      </w:r>
      <w:bookmarkStart w:id="1" w:name="_Toc363573854"/>
    </w:p>
    <w:p>
      <w:pPr>
        <w:snapToGrid w:val="0"/>
        <w:spacing w:line="480" w:lineRule="exact"/>
        <w:ind w:firstLine="647" w:firstLineChars="202"/>
        <w:rPr>
          <w:rFonts w:hint="eastAsia" w:ascii="宋体" w:hAnsi="宋体" w:eastAsia="宋体" w:cs="宋体"/>
          <w:b/>
          <w:bCs/>
          <w:color w:val="auto"/>
          <w:sz w:val="32"/>
          <w:szCs w:val="32"/>
        </w:rPr>
      </w:pPr>
      <w:r>
        <w:rPr>
          <w:rFonts w:hint="eastAsia" w:ascii="宋体" w:hAnsi="宋体" w:eastAsia="宋体" w:cs="宋体"/>
          <w:b/>
          <w:bCs/>
          <w:color w:val="auto"/>
          <w:sz w:val="32"/>
          <w:szCs w:val="32"/>
        </w:rPr>
        <w:t>1.采购人信息</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名称：南通科技职业学院</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联系方式：刘老师、</w:t>
      </w:r>
      <w:r>
        <w:rPr>
          <w:rFonts w:hint="eastAsia" w:ascii="宋体" w:hAnsi="宋体" w:eastAsia="宋体" w:cs="宋体"/>
          <w:color w:val="auto"/>
          <w:sz w:val="32"/>
          <w:szCs w:val="32"/>
          <w:lang w:val="en-US" w:eastAsia="zh-CN"/>
        </w:rPr>
        <w:t>汤老师</w:t>
      </w:r>
      <w:r>
        <w:rPr>
          <w:rFonts w:hint="eastAsia" w:ascii="宋体" w:hAnsi="宋体" w:eastAsia="宋体" w:cs="宋体"/>
          <w:color w:val="auto"/>
          <w:sz w:val="32"/>
          <w:szCs w:val="32"/>
        </w:rPr>
        <w:t>　　</w:t>
      </w:r>
    </w:p>
    <w:p>
      <w:pPr>
        <w:snapToGrid w:val="0"/>
        <w:spacing w:line="480" w:lineRule="exact"/>
        <w:ind w:firstLine="646" w:firstLineChars="202"/>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联系方式：0513-81050598、15695131939</w:t>
      </w:r>
    </w:p>
    <w:p>
      <w:pPr>
        <w:snapToGrid w:val="0"/>
        <w:spacing w:line="480" w:lineRule="exact"/>
        <w:ind w:firstLine="647" w:firstLineChars="202"/>
        <w:rPr>
          <w:rFonts w:hint="eastAsia" w:ascii="宋体" w:hAnsi="宋体" w:eastAsia="宋体" w:cs="宋体"/>
          <w:b/>
          <w:bCs/>
          <w:color w:val="auto"/>
          <w:sz w:val="32"/>
          <w:szCs w:val="32"/>
        </w:rPr>
      </w:pPr>
      <w:r>
        <w:rPr>
          <w:rFonts w:hint="eastAsia" w:ascii="宋体" w:hAnsi="宋体" w:eastAsia="宋体" w:cs="宋体"/>
          <w:b/>
          <w:bCs/>
          <w:color w:val="auto"/>
          <w:sz w:val="32"/>
          <w:szCs w:val="32"/>
        </w:rPr>
        <w:t>2.采购代理机构信息</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名称：东方华星建设管理（江苏）有限公司</w:t>
      </w:r>
      <w:bookmarkStart w:id="12" w:name="_GoBack"/>
      <w:bookmarkEnd w:id="12"/>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地址：南通市万科壹中心2407室</w:t>
      </w:r>
    </w:p>
    <w:p>
      <w:pPr>
        <w:snapToGrid w:val="0"/>
        <w:spacing w:line="480" w:lineRule="exact"/>
        <w:ind w:firstLine="646" w:firstLineChars="202"/>
        <w:rPr>
          <w:rFonts w:hint="eastAsia" w:ascii="宋体" w:hAnsi="宋体" w:eastAsia="宋体" w:cs="宋体"/>
          <w:b/>
          <w:w w:val="80"/>
          <w:sz w:val="32"/>
          <w:szCs w:val="32"/>
        </w:rPr>
      </w:pPr>
      <w:r>
        <w:rPr>
          <w:rFonts w:hint="eastAsia" w:ascii="宋体" w:hAnsi="宋体" w:eastAsia="宋体" w:cs="宋体"/>
          <w:color w:val="auto"/>
          <w:sz w:val="32"/>
          <w:szCs w:val="32"/>
        </w:rPr>
        <w:t xml:space="preserve">联系方式：卫佳丽  18106295192 </w:t>
      </w:r>
      <w:r>
        <w:rPr>
          <w:rFonts w:hint="eastAsia" w:ascii="宋体" w:hAnsi="宋体" w:eastAsia="宋体" w:cs="宋体"/>
          <w:b/>
          <w:w w:val="80"/>
          <w:sz w:val="32"/>
          <w:szCs w:val="32"/>
        </w:rPr>
        <w:br w:type="page"/>
      </w:r>
    </w:p>
    <w:p>
      <w:pPr>
        <w:snapToGrid w:val="0"/>
        <w:spacing w:line="480" w:lineRule="exact"/>
        <w:ind w:firstLine="518" w:firstLineChars="202"/>
        <w:jc w:val="center"/>
        <w:rPr>
          <w:rFonts w:hint="eastAsia" w:ascii="宋体" w:hAnsi="宋体" w:eastAsia="宋体" w:cs="宋体"/>
          <w:b/>
          <w:w w:val="80"/>
          <w:sz w:val="32"/>
          <w:szCs w:val="32"/>
        </w:rPr>
      </w:pPr>
      <w:r>
        <w:rPr>
          <w:rFonts w:hint="eastAsia" w:ascii="宋体" w:hAnsi="宋体" w:eastAsia="宋体" w:cs="宋体"/>
          <w:b/>
          <w:w w:val="80"/>
          <w:sz w:val="32"/>
          <w:szCs w:val="32"/>
        </w:rPr>
        <w:t>第二章  供应商须知</w:t>
      </w:r>
      <w:bookmarkEnd w:id="1"/>
    </w:p>
    <w:p>
      <w:pPr>
        <w:snapToGrid w:val="0"/>
        <w:spacing w:line="480" w:lineRule="exact"/>
        <w:ind w:firstLine="641" w:firstLineChars="200"/>
        <w:outlineLvl w:val="1"/>
        <w:rPr>
          <w:rFonts w:hint="eastAsia" w:ascii="宋体" w:hAnsi="宋体" w:eastAsia="宋体" w:cs="宋体"/>
          <w:b/>
          <w:bCs/>
          <w:sz w:val="32"/>
          <w:szCs w:val="32"/>
        </w:rPr>
      </w:pPr>
      <w:r>
        <w:rPr>
          <w:rFonts w:hint="eastAsia" w:ascii="宋体" w:hAnsi="宋体" w:eastAsia="宋体" w:cs="宋体"/>
          <w:b/>
          <w:bCs/>
          <w:sz w:val="32"/>
          <w:szCs w:val="32"/>
        </w:rPr>
        <w:t>一、说明</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1、本比选文件仅适用于东方华星建设管理（江苏）有限公司组织（以下称代理机构）的比选活动。</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2、比选活动及因本次招标产生的合同受中国法律制约和保护。</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3、比选文件的解释权属于代理机构和采购人。</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4、供应商应认真审阅比选文件中所有的事项、格式、条款和规范要求等，如果供应商没有按照比选文件要求提交响应文件，或者响应文件没有对比选文件做出实质性响应，将被拒绝参与招标。</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二、比选文件的补充说明、澄清、修改、答疑</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1、代理机构有权对发出的比选文件进行必要的补充说明、澄清或修改。</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2、凡涉及比选文件的补充说明、澄清或修改，均以</w:t>
      </w:r>
      <w:r>
        <w:rPr>
          <w:rFonts w:hint="eastAsia" w:ascii="宋体" w:hAnsi="宋体" w:eastAsia="宋体" w:cs="宋体"/>
          <w:bCs/>
          <w:sz w:val="32"/>
          <w:szCs w:val="32"/>
        </w:rPr>
        <w:t>南通科技职业学院官网</w:t>
      </w:r>
      <w:r>
        <w:rPr>
          <w:rFonts w:hint="eastAsia" w:ascii="宋体" w:hAnsi="宋体" w:eastAsia="宋体" w:cs="宋体"/>
          <w:sz w:val="32"/>
          <w:szCs w:val="32"/>
        </w:rPr>
        <w:t>发布的信息为准。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3、代理机构对比选文件的补充说明、澄清或修改，将构成比选文件的一部分，对供应商具有约束力。</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4、除非代理机构以书面的形式对比选文件作出澄清、修改及补充，供应商对涉及比选文件的任何推论、理解和结论所造成的结果，均由供应商自负。</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5、采购人视情组织答疑会。如有产生答疑且对比选文件内容有修改，代理机构将按照本须知有关规定，以补充通知（公告）的方式发出。</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三、响应文件的组成及装订</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1、响应文件由：①资格后审材料文件、②技术标响应文件、③商务标响应文件共3部分组成（以下由文件序号代称）。</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供应商按比选文件组成顺序编写响应文件，并牢固装订成册。响应文件均需采用A4纸（图纸等除外），不允许使用活页夹、拉杆夹、文件夹、塑料方便式书脊（插入式或穿孔式）装订。响应文件不得行间插字、涂改、增删，如修改错漏处，须经签署响应文件的供应商法定代表人或其委托的代理人（以下称委托代理人）签字（或盖章）并加盖公章。</w:t>
      </w:r>
    </w:p>
    <w:p>
      <w:pPr>
        <w:snapToGrid w:val="0"/>
        <w:spacing w:line="480" w:lineRule="exact"/>
        <w:ind w:firstLine="641" w:firstLineChars="200"/>
        <w:outlineLvl w:val="1"/>
        <w:rPr>
          <w:rFonts w:hint="eastAsia" w:ascii="宋体" w:hAnsi="宋体" w:eastAsia="宋体" w:cs="宋体"/>
          <w:b/>
          <w:bCs/>
          <w:sz w:val="32"/>
          <w:szCs w:val="32"/>
        </w:rPr>
      </w:pPr>
      <w:r>
        <w:rPr>
          <w:rFonts w:hint="eastAsia" w:ascii="宋体" w:hAnsi="宋体" w:eastAsia="宋体" w:cs="宋体"/>
          <w:b/>
          <w:bCs/>
          <w:sz w:val="32"/>
          <w:szCs w:val="32"/>
        </w:rPr>
        <w:t>四、响应文件的份数和签署</w:t>
      </w:r>
    </w:p>
    <w:p>
      <w:pPr>
        <w:snapToGrid w:val="0"/>
        <w:spacing w:line="480" w:lineRule="exact"/>
        <w:ind w:firstLine="640" w:firstLineChars="200"/>
        <w:rPr>
          <w:rFonts w:hint="eastAsia" w:ascii="宋体" w:hAnsi="宋体" w:eastAsia="宋体" w:cs="宋体"/>
          <w:b/>
          <w:sz w:val="32"/>
          <w:szCs w:val="32"/>
        </w:rPr>
      </w:pPr>
      <w:r>
        <w:rPr>
          <w:rFonts w:hint="eastAsia" w:ascii="宋体" w:hAnsi="宋体" w:eastAsia="宋体" w:cs="宋体"/>
          <w:sz w:val="32"/>
          <w:szCs w:val="32"/>
        </w:rPr>
        <w:t>1、响应文件均为</w:t>
      </w:r>
      <w:r>
        <w:rPr>
          <w:rFonts w:hint="eastAsia" w:ascii="宋体" w:hAnsi="宋体" w:eastAsia="宋体" w:cs="宋体"/>
          <w:b/>
          <w:sz w:val="32"/>
          <w:szCs w:val="32"/>
        </w:rPr>
        <w:t>一份“正本”和二份“副本”。</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2、在每一份响应文件上要明确标注项目名称、响应文件各自对应的名称、供应商全称、“正本”、“副本”字样，“正本”和“副本”若有差异，概以“正本”为准。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3、响应文件中的所有“正本”，须为打印的，其正文内容由法定代表人或委托代理人签字（或盖章）并加盖公章，“副本”可为“正本”的复印件。</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4、开标程序顺利进行后，所有响应文件都将作为档案保存，不论成交与否，代理机构均不退回（未拆封的除外）。</w:t>
      </w:r>
    </w:p>
    <w:p>
      <w:pPr>
        <w:snapToGrid w:val="0"/>
        <w:spacing w:line="480" w:lineRule="exact"/>
        <w:ind w:firstLine="628" w:firstLineChars="196"/>
        <w:outlineLvl w:val="1"/>
        <w:rPr>
          <w:rFonts w:hint="eastAsia" w:ascii="宋体" w:hAnsi="宋体" w:eastAsia="宋体" w:cs="宋体"/>
          <w:b/>
          <w:bCs/>
          <w:sz w:val="32"/>
          <w:szCs w:val="32"/>
        </w:rPr>
      </w:pPr>
      <w:r>
        <w:rPr>
          <w:rFonts w:hint="eastAsia" w:ascii="宋体" w:hAnsi="宋体" w:eastAsia="宋体" w:cs="宋体"/>
          <w:b/>
          <w:bCs/>
          <w:sz w:val="32"/>
          <w:szCs w:val="32"/>
        </w:rPr>
        <w:t>五、响应文件的密封及标记</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1、供应商须将本项目响应文件：①、②、③</w:t>
      </w:r>
      <w:r>
        <w:rPr>
          <w:rFonts w:hint="eastAsia" w:ascii="宋体" w:hAnsi="宋体" w:eastAsia="宋体" w:cs="宋体"/>
          <w:b/>
          <w:sz w:val="32"/>
          <w:szCs w:val="32"/>
        </w:rPr>
        <w:t>分别单独密封</w:t>
      </w:r>
      <w:r>
        <w:rPr>
          <w:rFonts w:hint="eastAsia" w:ascii="宋体" w:hAnsi="宋体" w:eastAsia="宋体" w:cs="宋体"/>
          <w:sz w:val="32"/>
          <w:szCs w:val="32"/>
        </w:rPr>
        <w:t>。</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2、密封后，应在每一密封的响应文件上明确标注采购项目名称、响应文件各自对应的名称、供应商全称及日期，同时加盖供应商公章或骑缝签字。</w:t>
      </w:r>
    </w:p>
    <w:p>
      <w:pPr>
        <w:snapToGrid w:val="0"/>
        <w:spacing w:line="480" w:lineRule="exact"/>
        <w:ind w:firstLine="641" w:firstLineChars="200"/>
        <w:rPr>
          <w:rFonts w:hint="eastAsia" w:ascii="宋体" w:hAnsi="宋体" w:eastAsia="宋体" w:cs="宋体"/>
          <w:sz w:val="32"/>
          <w:szCs w:val="32"/>
        </w:rPr>
      </w:pPr>
      <w:r>
        <w:rPr>
          <w:rFonts w:hint="eastAsia" w:ascii="宋体" w:hAnsi="宋体" w:eastAsia="宋体" w:cs="宋体"/>
          <w:b/>
          <w:sz w:val="32"/>
          <w:szCs w:val="32"/>
        </w:rPr>
        <w:t>特别提醒：</w:t>
      </w:r>
      <w:r>
        <w:rPr>
          <w:rFonts w:hint="eastAsia" w:ascii="宋体" w:hAnsi="宋体" w:eastAsia="宋体" w:cs="宋体"/>
          <w:sz w:val="32"/>
          <w:szCs w:val="32"/>
        </w:rPr>
        <w:t>响应文件中的①及②的“正本”或“副本”中，均不得含有任何商务标响应文件中的报价表（报价单）的内容，否则作废标处理。</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bCs/>
          <w:sz w:val="32"/>
          <w:szCs w:val="32"/>
        </w:rPr>
        <w:t>六</w:t>
      </w:r>
      <w:r>
        <w:rPr>
          <w:rFonts w:hint="eastAsia" w:ascii="宋体" w:hAnsi="宋体" w:eastAsia="宋体" w:cs="宋体"/>
          <w:b/>
          <w:sz w:val="32"/>
          <w:szCs w:val="32"/>
        </w:rPr>
        <w:t>、响应文件内容</w:t>
      </w:r>
    </w:p>
    <w:p>
      <w:pPr>
        <w:snapToGrid w:val="0"/>
        <w:spacing w:line="480" w:lineRule="exact"/>
        <w:ind w:firstLine="641" w:firstLineChars="200"/>
        <w:rPr>
          <w:rFonts w:hint="eastAsia" w:ascii="宋体" w:hAnsi="宋体" w:eastAsia="宋体" w:cs="宋体"/>
          <w:sz w:val="32"/>
          <w:szCs w:val="32"/>
        </w:rPr>
      </w:pPr>
      <w:r>
        <w:rPr>
          <w:rFonts w:hint="eastAsia" w:ascii="宋体" w:hAnsi="宋体" w:eastAsia="宋体" w:cs="宋体"/>
          <w:b/>
          <w:sz w:val="32"/>
          <w:szCs w:val="32"/>
        </w:rPr>
        <w:t>A、资格后审材料文件</w:t>
      </w:r>
      <w:r>
        <w:rPr>
          <w:rFonts w:hint="eastAsia" w:ascii="宋体" w:hAnsi="宋体" w:eastAsia="宋体" w:cs="宋体"/>
          <w:sz w:val="32"/>
          <w:szCs w:val="32"/>
        </w:rPr>
        <w:t>（一个密封包，含一正两副文件）：</w:t>
      </w:r>
    </w:p>
    <w:p>
      <w:pPr>
        <w:pStyle w:val="17"/>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1、关于资格的响应函（格式参见第六章）；</w:t>
      </w:r>
    </w:p>
    <w:p>
      <w:pPr>
        <w:pStyle w:val="17"/>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2、法定代表人参加响应的，必须提供法定代表人身份证明及法定代表人本人身份证复印件；非法定代表人参加响应的，必须提供法定代表人签名或盖章的授权委托书及被授权人的身份证复印件（格式参见第六章）；</w:t>
      </w:r>
    </w:p>
    <w:p>
      <w:pPr>
        <w:pStyle w:val="17"/>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3、具有独立承担民事责任的能力（提供有效的营业执照副本复印件）；</w:t>
      </w:r>
    </w:p>
    <w:p>
      <w:pPr>
        <w:pStyle w:val="17"/>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4、未被“信用中国”网站列入失信被执行人、重大税收违法案件当事人名单、采购严重失信行为记录名单，提供无重大违法记录声明（格式参见第六章）</w:t>
      </w:r>
    </w:p>
    <w:p>
      <w:pPr>
        <w:spacing w:line="480" w:lineRule="exact"/>
        <w:ind w:firstLine="647" w:firstLineChars="202"/>
        <w:outlineLvl w:val="2"/>
        <w:rPr>
          <w:rFonts w:hint="eastAsia" w:ascii="宋体" w:hAnsi="宋体" w:eastAsia="宋体" w:cs="宋体"/>
          <w:b/>
          <w:sz w:val="32"/>
          <w:szCs w:val="32"/>
        </w:rPr>
      </w:pPr>
      <w:r>
        <w:rPr>
          <w:rFonts w:hint="eastAsia" w:ascii="宋体" w:hAnsi="宋体" w:eastAsia="宋体" w:cs="宋体"/>
          <w:b/>
          <w:sz w:val="32"/>
          <w:szCs w:val="32"/>
        </w:rPr>
        <w:t>B、技术标响应文件</w:t>
      </w:r>
      <w:r>
        <w:rPr>
          <w:rFonts w:hint="eastAsia" w:ascii="宋体" w:hAnsi="宋体" w:eastAsia="宋体" w:cs="宋体"/>
          <w:sz w:val="32"/>
          <w:szCs w:val="32"/>
        </w:rPr>
        <w:t>（一个密封包，含一正两副文件）</w:t>
      </w:r>
      <w:r>
        <w:rPr>
          <w:rFonts w:hint="eastAsia" w:ascii="宋体" w:hAnsi="宋体" w:eastAsia="宋体" w:cs="宋体"/>
          <w:b/>
          <w:sz w:val="32"/>
          <w:szCs w:val="32"/>
        </w:rPr>
        <w:t>：</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【特别提醒1】供应商应根据本标书第三章“项目需求”提供的主要技术规范，配置要求和货物产品标准等，仔细阅读并在理解的基础上结合第四章评审方法内的评审细则，编写编制技术响应文件。</w:t>
      </w:r>
    </w:p>
    <w:p>
      <w:pPr>
        <w:numPr>
          <w:ilvl w:val="0"/>
          <w:numId w:val="1"/>
        </w:numPr>
        <w:spacing w:line="480" w:lineRule="exact"/>
        <w:ind w:firstLine="646" w:firstLineChars="202"/>
        <w:outlineLvl w:val="3"/>
        <w:rPr>
          <w:rFonts w:hint="eastAsia" w:ascii="宋体" w:hAnsi="宋体" w:eastAsia="宋体" w:cs="宋体"/>
          <w:bCs/>
          <w:sz w:val="32"/>
          <w:szCs w:val="32"/>
        </w:rPr>
      </w:pPr>
      <w:r>
        <w:rPr>
          <w:rFonts w:hint="eastAsia" w:ascii="宋体" w:hAnsi="宋体" w:eastAsia="宋体" w:cs="宋体"/>
          <w:bCs/>
          <w:sz w:val="32"/>
          <w:szCs w:val="32"/>
        </w:rPr>
        <w:t>商务部分正负偏离表（格式参见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pacing w:line="480" w:lineRule="exact"/>
        <w:ind w:firstLine="640" w:firstLineChars="200"/>
        <w:outlineLvl w:val="3"/>
        <w:rPr>
          <w:rFonts w:hint="eastAsia" w:ascii="宋体" w:hAnsi="宋体" w:eastAsia="宋体" w:cs="宋体"/>
          <w:bCs/>
          <w:sz w:val="32"/>
          <w:szCs w:val="32"/>
        </w:rPr>
      </w:pPr>
      <w:r>
        <w:rPr>
          <w:rFonts w:hint="eastAsia" w:ascii="宋体" w:hAnsi="宋体" w:eastAsia="宋体" w:cs="宋体"/>
          <w:bCs/>
          <w:sz w:val="32"/>
          <w:szCs w:val="32"/>
        </w:rPr>
        <w:t>2、技术部分正负偏离表（格式参见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pacing w:line="480" w:lineRule="exact"/>
        <w:ind w:firstLine="646" w:firstLineChars="202"/>
        <w:outlineLvl w:val="3"/>
        <w:rPr>
          <w:rFonts w:hint="eastAsia" w:ascii="宋体" w:hAnsi="宋体" w:eastAsia="宋体" w:cs="宋体"/>
          <w:bCs/>
          <w:sz w:val="32"/>
          <w:szCs w:val="32"/>
        </w:rPr>
      </w:pPr>
      <w:r>
        <w:rPr>
          <w:rFonts w:hint="eastAsia" w:ascii="宋体" w:hAnsi="宋体" w:eastAsia="宋体" w:cs="宋体"/>
          <w:bCs/>
          <w:sz w:val="32"/>
          <w:szCs w:val="32"/>
        </w:rPr>
        <w:t>3、根据第四章评标办法要求自行提供相关资料。</w:t>
      </w:r>
    </w:p>
    <w:p>
      <w:pPr>
        <w:spacing w:line="480" w:lineRule="exact"/>
        <w:ind w:firstLine="647" w:firstLineChars="202"/>
        <w:outlineLvl w:val="2"/>
        <w:rPr>
          <w:rFonts w:hint="eastAsia" w:ascii="宋体" w:hAnsi="宋体" w:eastAsia="宋体" w:cs="宋体"/>
          <w:b/>
          <w:sz w:val="32"/>
          <w:szCs w:val="32"/>
        </w:rPr>
      </w:pPr>
      <w:r>
        <w:rPr>
          <w:rFonts w:hint="eastAsia" w:ascii="宋体" w:hAnsi="宋体" w:eastAsia="宋体" w:cs="宋体"/>
          <w:b/>
          <w:sz w:val="32"/>
          <w:szCs w:val="32"/>
        </w:rPr>
        <w:t>C、商务标响应文件</w:t>
      </w:r>
      <w:r>
        <w:rPr>
          <w:rFonts w:hint="eastAsia" w:ascii="宋体" w:hAnsi="宋体" w:eastAsia="宋体" w:cs="宋体"/>
          <w:sz w:val="32"/>
          <w:szCs w:val="32"/>
        </w:rPr>
        <w:t>（一个密封包，含一正两副文件）</w:t>
      </w:r>
      <w:r>
        <w:rPr>
          <w:rFonts w:hint="eastAsia" w:ascii="宋体" w:hAnsi="宋体" w:eastAsia="宋体" w:cs="宋体"/>
          <w:b/>
          <w:sz w:val="32"/>
          <w:szCs w:val="32"/>
        </w:rPr>
        <w:t>：</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【特别提醒】商务标响应文件应包括比选文件所确定的招标范围及相应说明的全部内容。</w:t>
      </w:r>
    </w:p>
    <w:p>
      <w:pPr>
        <w:numPr>
          <w:ilvl w:val="0"/>
          <w:numId w:val="2"/>
        </w:numPr>
        <w:spacing w:line="480" w:lineRule="exact"/>
        <w:ind w:firstLine="640" w:firstLineChars="200"/>
        <w:outlineLvl w:val="3"/>
        <w:rPr>
          <w:rFonts w:hint="eastAsia" w:ascii="宋体" w:hAnsi="宋体" w:eastAsia="宋体" w:cs="宋体"/>
          <w:sz w:val="32"/>
          <w:szCs w:val="32"/>
        </w:rPr>
      </w:pPr>
      <w:r>
        <w:rPr>
          <w:rFonts w:hint="eastAsia" w:ascii="宋体" w:hAnsi="宋体" w:eastAsia="宋体" w:cs="宋体"/>
          <w:sz w:val="32"/>
          <w:szCs w:val="32"/>
        </w:rPr>
        <w:t>报价总表</w:t>
      </w:r>
      <w:r>
        <w:rPr>
          <w:rFonts w:hint="eastAsia" w:ascii="宋体" w:hAnsi="宋体" w:eastAsia="宋体" w:cs="宋体"/>
          <w:bCs/>
          <w:sz w:val="32"/>
          <w:szCs w:val="32"/>
        </w:rPr>
        <w:t>（格式参见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napToGrid w:val="0"/>
        <w:spacing w:line="480" w:lineRule="exact"/>
        <w:ind w:firstLine="660" w:firstLineChars="206"/>
        <w:outlineLvl w:val="1"/>
        <w:rPr>
          <w:rFonts w:hint="eastAsia" w:ascii="宋体" w:hAnsi="宋体" w:eastAsia="宋体" w:cs="宋体"/>
          <w:b/>
          <w:bCs/>
          <w:sz w:val="32"/>
          <w:szCs w:val="32"/>
        </w:rPr>
      </w:pPr>
      <w:r>
        <w:rPr>
          <w:rFonts w:hint="eastAsia" w:ascii="宋体" w:hAnsi="宋体" w:eastAsia="宋体" w:cs="宋体"/>
          <w:b/>
          <w:bCs/>
          <w:sz w:val="32"/>
          <w:szCs w:val="32"/>
        </w:rPr>
        <w:t>七、联合响应</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本项目不接受多个供应商组成的联合体参与响应。</w:t>
      </w:r>
    </w:p>
    <w:p>
      <w:pPr>
        <w:snapToGrid w:val="0"/>
        <w:spacing w:line="480" w:lineRule="exact"/>
        <w:ind w:firstLine="660" w:firstLineChars="206"/>
        <w:outlineLvl w:val="1"/>
        <w:rPr>
          <w:rFonts w:hint="eastAsia" w:ascii="宋体" w:hAnsi="宋体" w:eastAsia="宋体" w:cs="宋体"/>
          <w:b/>
          <w:sz w:val="32"/>
          <w:szCs w:val="32"/>
        </w:rPr>
      </w:pPr>
      <w:r>
        <w:rPr>
          <w:rFonts w:hint="eastAsia" w:ascii="宋体" w:hAnsi="宋体" w:eastAsia="宋体" w:cs="宋体"/>
          <w:b/>
          <w:bCs/>
          <w:sz w:val="32"/>
          <w:szCs w:val="32"/>
        </w:rPr>
        <w:t>八</w:t>
      </w:r>
      <w:r>
        <w:rPr>
          <w:rFonts w:hint="eastAsia" w:ascii="宋体" w:hAnsi="宋体" w:eastAsia="宋体" w:cs="宋体"/>
          <w:b/>
          <w:sz w:val="32"/>
          <w:szCs w:val="32"/>
        </w:rPr>
        <w:t>、响应报价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1、本项目不接受任何有选择的报价。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2、报价均以人民币为报价的货币单位。</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3、报价表必须加盖供应商公章且必须经法定代表人或委托代理人签署。大小写金额必须一致，若有差异，以大写为准。</w:t>
      </w:r>
    </w:p>
    <w:p>
      <w:pPr>
        <w:snapToGrid w:val="0"/>
        <w:spacing w:line="480" w:lineRule="exact"/>
        <w:ind w:firstLine="659" w:firstLineChars="206"/>
        <w:rPr>
          <w:rFonts w:hint="eastAsia" w:ascii="宋体" w:hAnsi="宋体" w:eastAsia="宋体" w:cs="宋体"/>
          <w:b/>
          <w:sz w:val="32"/>
          <w:szCs w:val="32"/>
        </w:rPr>
      </w:pPr>
      <w:r>
        <w:rPr>
          <w:rFonts w:hint="eastAsia" w:ascii="宋体" w:hAnsi="宋体" w:eastAsia="宋体" w:cs="宋体"/>
          <w:sz w:val="32"/>
          <w:szCs w:val="32"/>
        </w:rPr>
        <w:t>4、供应商对报价中的服务的报价应包括：响应及完成本项目工作所需的一切费用。包含但不限于服务劳务、管理、相关证书报名费、培训费、材料费、运输费、保险、售后服务、利润、税金、政策性文件规定及合同包含的所有风险、责任等各项应有费用。</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5、比选文件未列明，而供应商认为必需的费用可列入报价，但须包含在总价内。项目总价：包括买方项目需求所涉及的所有费用，项目单价按配置及明细报价表中各分项要求填报。</w:t>
      </w:r>
    </w:p>
    <w:p>
      <w:pPr>
        <w:snapToGrid w:val="0"/>
        <w:spacing w:line="480" w:lineRule="exact"/>
        <w:ind w:firstLine="659" w:firstLineChars="206"/>
        <w:rPr>
          <w:rFonts w:hint="eastAsia" w:ascii="宋体" w:hAnsi="宋体" w:eastAsia="宋体" w:cs="宋体"/>
          <w:b/>
          <w:sz w:val="32"/>
          <w:szCs w:val="32"/>
        </w:rPr>
      </w:pPr>
      <w:r>
        <w:rPr>
          <w:rFonts w:hint="eastAsia" w:ascii="宋体" w:hAnsi="宋体" w:eastAsia="宋体" w:cs="宋体"/>
          <w:sz w:val="32"/>
          <w:szCs w:val="32"/>
        </w:rPr>
        <w:t>6、响应报价为最终报价，即</w:t>
      </w:r>
      <w:r>
        <w:rPr>
          <w:rFonts w:hint="eastAsia" w:ascii="宋体" w:hAnsi="宋体" w:eastAsia="宋体" w:cs="宋体"/>
          <w:b/>
          <w:sz w:val="32"/>
          <w:szCs w:val="32"/>
        </w:rPr>
        <w:t>本次项目仅为一次报价。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7、报价总表与分项报价表不一致的，以报价总表为准。</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8、除非因特殊原因并经采购人和成交人双方协商同意，成交人不得再要求追加任何费用。同时，除非合同条款中另有规定，否则，成交人的成交价在合同实施期间不因市场变化因素而变动。</w:t>
      </w:r>
    </w:p>
    <w:p>
      <w:pPr>
        <w:snapToGrid w:val="0"/>
        <w:spacing w:line="480" w:lineRule="exact"/>
        <w:ind w:firstLine="660" w:firstLineChars="206"/>
        <w:outlineLvl w:val="1"/>
        <w:rPr>
          <w:rFonts w:hint="eastAsia" w:ascii="宋体" w:hAnsi="宋体" w:eastAsia="宋体" w:cs="宋体"/>
          <w:b/>
          <w:sz w:val="32"/>
          <w:szCs w:val="32"/>
        </w:rPr>
      </w:pPr>
      <w:r>
        <w:rPr>
          <w:rFonts w:hint="eastAsia" w:ascii="宋体" w:hAnsi="宋体" w:eastAsia="宋体" w:cs="宋体"/>
          <w:b/>
          <w:sz w:val="32"/>
          <w:szCs w:val="32"/>
        </w:rPr>
        <w:t>九、费用</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1、无论过程和结果如何，参加比选的响应人自行承担与本次项目有关的全部费用。</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2、本项目文件费300元/份，在递交响应文件时支付给代理机构，无论成交与否不予退还。本项目代理服务费按</w:t>
      </w:r>
      <w:r>
        <w:rPr>
          <w:rFonts w:hint="eastAsia" w:ascii="宋体" w:hAnsi="宋体" w:eastAsia="宋体" w:cs="宋体"/>
          <w:bCs/>
          <w:sz w:val="32"/>
          <w:szCs w:val="32"/>
          <w:lang w:val="en-US" w:eastAsia="zh-CN"/>
        </w:rPr>
        <w:t>成交价的1.4%</w:t>
      </w:r>
      <w:r>
        <w:rPr>
          <w:rFonts w:hint="eastAsia" w:ascii="宋体" w:hAnsi="宋体" w:eastAsia="宋体" w:cs="宋体"/>
          <w:bCs/>
          <w:sz w:val="32"/>
          <w:szCs w:val="32"/>
        </w:rPr>
        <w:t>计收</w:t>
      </w: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不足3000元按3000元收取）</w:t>
      </w:r>
      <w:r>
        <w:rPr>
          <w:rFonts w:hint="eastAsia" w:ascii="宋体" w:hAnsi="宋体" w:eastAsia="宋体" w:cs="宋体"/>
          <w:bCs/>
          <w:sz w:val="32"/>
          <w:szCs w:val="32"/>
        </w:rPr>
        <w:t>，由成交供应商承担。供应商在报价时应综合考虑（不单列）。</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3、代理费由成交供应商在开标现场定标后支付给代理机构，如因成交供应商原因导致本项目流标或改变成交结果或其被取消成交资格的，代理费不予退还。</w:t>
      </w:r>
    </w:p>
    <w:p>
      <w:pPr>
        <w:tabs>
          <w:tab w:val="left" w:pos="1050"/>
          <w:tab w:val="right" w:leader="dot" w:pos="9402"/>
        </w:tabs>
        <w:spacing w:before="190" w:beforeLines="50" w:line="480" w:lineRule="exact"/>
        <w:jc w:val="center"/>
        <w:outlineLvl w:val="0"/>
        <w:rPr>
          <w:rFonts w:hint="eastAsia" w:ascii="宋体" w:hAnsi="宋体" w:eastAsia="宋体" w:cs="宋体"/>
          <w:b/>
          <w:w w:val="80"/>
          <w:sz w:val="32"/>
          <w:szCs w:val="32"/>
        </w:rPr>
      </w:pPr>
      <w:bookmarkStart w:id="2" w:name="_Toc363573855"/>
      <w:r>
        <w:rPr>
          <w:rFonts w:hint="eastAsia" w:ascii="宋体" w:hAnsi="宋体" w:eastAsia="宋体" w:cs="宋体"/>
          <w:b/>
          <w:w w:val="80"/>
          <w:sz w:val="32"/>
          <w:szCs w:val="32"/>
        </w:rPr>
        <w:br w:type="page"/>
      </w:r>
      <w:r>
        <w:rPr>
          <w:rFonts w:hint="eastAsia" w:ascii="宋体" w:hAnsi="宋体" w:eastAsia="宋体" w:cs="宋体"/>
          <w:b/>
          <w:w w:val="80"/>
          <w:sz w:val="32"/>
          <w:szCs w:val="32"/>
        </w:rPr>
        <w:t>第三章项目需求</w:t>
      </w:r>
      <w:bookmarkEnd w:id="2"/>
    </w:p>
    <w:p>
      <w:pPr>
        <w:pStyle w:val="2"/>
        <w:spacing w:line="480" w:lineRule="exact"/>
        <w:ind w:firstLine="641" w:firstLineChars="200"/>
        <w:rPr>
          <w:rFonts w:hint="eastAsia" w:ascii="宋体" w:hAnsi="宋体" w:eastAsia="宋体" w:cs="宋体"/>
          <w:b w:val="0"/>
          <w:sz w:val="32"/>
          <w:szCs w:val="32"/>
        </w:rPr>
      </w:pPr>
      <w:r>
        <w:rPr>
          <w:rFonts w:hint="eastAsia" w:ascii="宋体" w:hAnsi="宋体" w:eastAsia="宋体" w:cs="宋体"/>
          <w:sz w:val="32"/>
          <w:szCs w:val="32"/>
        </w:rPr>
        <w:t>请供应商在制作响应文件时仔细研究项目需求说明。</w:t>
      </w:r>
      <w:r>
        <w:rPr>
          <w:rFonts w:hint="eastAsia" w:ascii="宋体" w:hAnsi="宋体" w:eastAsia="宋体" w:cs="宋体"/>
          <w:b w:val="0"/>
          <w:sz w:val="32"/>
          <w:szCs w:val="32"/>
        </w:rPr>
        <w:t>供应商不能简单照搬照抄采购单位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服务同采购人提出的项目需求说明中的技术、商务要求不同的，必须在《商务部分正负偏离表》和《技术部分正负偏离表》上明示，如不明示的视同完全响应。</w:t>
      </w:r>
    </w:p>
    <w:p>
      <w:pPr>
        <w:pageBreakBefore w:val="0"/>
        <w:tabs>
          <w:tab w:val="left" w:pos="5325"/>
        </w:tabs>
        <w:kinsoku/>
        <w:wordWrap/>
        <w:topLinePunct w:val="0"/>
        <w:bidi w:val="0"/>
        <w:snapToGrid w:val="0"/>
        <w:spacing w:line="480" w:lineRule="exact"/>
        <w:ind w:firstLine="641" w:firstLineChars="200"/>
        <w:contextualSpacing/>
        <w:rPr>
          <w:rFonts w:hint="eastAsia" w:ascii="宋体" w:hAnsi="宋体" w:eastAsia="宋体" w:cs="宋体"/>
          <w:b/>
          <w:sz w:val="32"/>
          <w:szCs w:val="32"/>
        </w:rPr>
      </w:pPr>
      <w:r>
        <w:rPr>
          <w:rFonts w:hint="eastAsia" w:ascii="宋体" w:hAnsi="宋体" w:eastAsia="宋体" w:cs="宋体"/>
          <w:b/>
          <w:sz w:val="32"/>
          <w:szCs w:val="32"/>
        </w:rPr>
        <w:t>一、背景概述、实现功能要求</w:t>
      </w:r>
    </w:p>
    <w:p>
      <w:pPr>
        <w:pageBreakBefore w:val="0"/>
        <w:kinsoku/>
        <w:wordWrap/>
        <w:topLinePunct w:val="0"/>
        <w:autoSpaceDE w:val="0"/>
        <w:autoSpaceDN w:val="0"/>
        <w:bidi w:val="0"/>
        <w:adjustRightInd w:val="0"/>
        <w:snapToGrid w:val="0"/>
        <w:spacing w:line="480" w:lineRule="exact"/>
        <w:ind w:firstLine="640" w:firstLineChars="200"/>
        <w:contextualSpacing/>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1、地理位置：南通科技职业学院</w:t>
      </w:r>
    </w:p>
    <w:p>
      <w:pPr>
        <w:pageBreakBefore w:val="0"/>
        <w:kinsoku/>
        <w:wordWrap/>
        <w:topLinePunct w:val="0"/>
        <w:autoSpaceDE w:val="0"/>
        <w:autoSpaceDN w:val="0"/>
        <w:bidi w:val="0"/>
        <w:adjustRightInd w:val="0"/>
        <w:snapToGrid w:val="0"/>
        <w:spacing w:line="480" w:lineRule="exact"/>
        <w:ind w:firstLine="640" w:firstLineChars="200"/>
        <w:contextualSpacing/>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2、实现功能：采购一款比赛软件，用于教学、比赛训练。</w:t>
      </w:r>
    </w:p>
    <w:p>
      <w:pPr>
        <w:pageBreakBefore w:val="0"/>
        <w:tabs>
          <w:tab w:val="left" w:pos="5325"/>
        </w:tabs>
        <w:kinsoku/>
        <w:wordWrap/>
        <w:topLinePunct w:val="0"/>
        <w:bidi w:val="0"/>
        <w:snapToGrid w:val="0"/>
        <w:spacing w:line="480" w:lineRule="exact"/>
        <w:ind w:firstLine="641" w:firstLineChars="200"/>
        <w:contextualSpacing/>
        <w:rPr>
          <w:rFonts w:hint="eastAsia" w:ascii="宋体" w:hAnsi="宋体" w:eastAsia="宋体" w:cs="宋体"/>
          <w:b/>
          <w:sz w:val="32"/>
          <w:szCs w:val="32"/>
          <w:lang w:val="zh-CN"/>
        </w:rPr>
      </w:pPr>
      <w:r>
        <w:rPr>
          <w:rFonts w:hint="eastAsia" w:ascii="宋体" w:hAnsi="宋体" w:eastAsia="宋体" w:cs="宋体"/>
          <w:b/>
          <w:sz w:val="32"/>
          <w:szCs w:val="32"/>
          <w:lang w:val="zh-CN"/>
        </w:rPr>
        <w:t>二、付款时间和条件</w:t>
      </w:r>
    </w:p>
    <w:p>
      <w:pPr>
        <w:pageBreakBefore w:val="0"/>
        <w:kinsoku/>
        <w:wordWrap/>
        <w:topLinePunct w:val="0"/>
        <w:bidi w:val="0"/>
        <w:spacing w:line="480" w:lineRule="exact"/>
        <w:ind w:firstLine="640" w:firstLineChars="200"/>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付款方式：</w:t>
      </w:r>
      <w:bookmarkStart w:id="3" w:name="_Hlk67994247"/>
      <w:r>
        <w:rPr>
          <w:rFonts w:hint="eastAsia" w:ascii="宋体" w:hAnsi="宋体" w:eastAsia="宋体" w:cs="宋体"/>
          <w:kern w:val="0"/>
          <w:sz w:val="32"/>
          <w:szCs w:val="32"/>
          <w:lang w:val="zh-CN"/>
        </w:rPr>
        <w:t>项目验收合格后，供应商须开具增值税专用发票，我方在收到发票后7个工作日内：</w:t>
      </w:r>
      <w:r>
        <w:rPr>
          <w:rFonts w:hint="eastAsia" w:ascii="宋体" w:hAnsi="宋体" w:eastAsia="宋体" w:cs="宋体"/>
          <w:b/>
          <w:bCs/>
          <w:kern w:val="0"/>
          <w:sz w:val="32"/>
          <w:szCs w:val="32"/>
          <w:lang w:val="en-US" w:eastAsia="zh-CN"/>
        </w:rPr>
        <w:t>2024年</w:t>
      </w:r>
      <w:r>
        <w:rPr>
          <w:rFonts w:hint="eastAsia" w:ascii="宋体" w:hAnsi="宋体" w:eastAsia="宋体" w:cs="宋体"/>
          <w:b/>
          <w:bCs/>
          <w:kern w:val="0"/>
          <w:sz w:val="32"/>
          <w:szCs w:val="32"/>
          <w:lang w:val="zh-CN"/>
        </w:rPr>
        <w:t>支付合同总额</w:t>
      </w:r>
      <w:r>
        <w:rPr>
          <w:rFonts w:hint="eastAsia" w:ascii="宋体" w:hAnsi="宋体" w:eastAsia="宋体" w:cs="宋体"/>
          <w:b/>
          <w:bCs/>
          <w:kern w:val="0"/>
          <w:sz w:val="32"/>
          <w:szCs w:val="32"/>
          <w:lang w:val="en-US" w:eastAsia="zh-CN"/>
        </w:rPr>
        <w:t>75</w:t>
      </w:r>
      <w:r>
        <w:rPr>
          <w:rFonts w:hint="eastAsia" w:ascii="宋体" w:hAnsi="宋体" w:eastAsia="宋体" w:cs="宋体"/>
          <w:b/>
          <w:bCs/>
          <w:kern w:val="0"/>
          <w:sz w:val="32"/>
          <w:szCs w:val="32"/>
          <w:lang w:val="zh-CN"/>
        </w:rPr>
        <w:t>%，</w:t>
      </w:r>
      <w:r>
        <w:rPr>
          <w:rFonts w:hint="eastAsia" w:ascii="宋体" w:hAnsi="宋体" w:eastAsia="宋体" w:cs="宋体"/>
          <w:b/>
          <w:bCs/>
          <w:kern w:val="0"/>
          <w:sz w:val="32"/>
          <w:szCs w:val="32"/>
          <w:lang w:val="en-US" w:eastAsia="zh-CN"/>
        </w:rPr>
        <w:t>2025年支付</w:t>
      </w:r>
      <w:r>
        <w:rPr>
          <w:rFonts w:hint="eastAsia" w:ascii="宋体" w:hAnsi="宋体" w:eastAsia="宋体" w:cs="宋体"/>
          <w:b/>
          <w:bCs/>
          <w:kern w:val="0"/>
          <w:sz w:val="32"/>
          <w:szCs w:val="32"/>
          <w:lang w:val="zh-CN"/>
        </w:rPr>
        <w:t>合同总额</w:t>
      </w:r>
      <w:r>
        <w:rPr>
          <w:rFonts w:hint="eastAsia" w:ascii="宋体" w:hAnsi="宋体" w:eastAsia="宋体" w:cs="宋体"/>
          <w:b/>
          <w:bCs/>
          <w:kern w:val="0"/>
          <w:sz w:val="32"/>
          <w:szCs w:val="32"/>
          <w:lang w:val="en-US" w:eastAsia="zh-CN"/>
        </w:rPr>
        <w:t>25</w:t>
      </w:r>
      <w:r>
        <w:rPr>
          <w:rFonts w:hint="eastAsia" w:ascii="宋体" w:hAnsi="宋体" w:eastAsia="宋体" w:cs="宋体"/>
          <w:b/>
          <w:bCs/>
          <w:kern w:val="0"/>
          <w:sz w:val="32"/>
          <w:szCs w:val="32"/>
          <w:lang w:val="zh-CN"/>
        </w:rPr>
        <w:t>%。</w:t>
      </w:r>
    </w:p>
    <w:bookmarkEnd w:id="3"/>
    <w:p>
      <w:pPr>
        <w:pageBreakBefore w:val="0"/>
        <w:tabs>
          <w:tab w:val="left" w:pos="5325"/>
        </w:tabs>
        <w:kinsoku/>
        <w:wordWrap/>
        <w:topLinePunct w:val="0"/>
        <w:bidi w:val="0"/>
        <w:spacing w:line="480" w:lineRule="exact"/>
        <w:ind w:left="692" w:leftChars="266" w:firstLine="157" w:firstLineChars="49"/>
        <w:rPr>
          <w:rFonts w:hint="eastAsia" w:ascii="宋体" w:hAnsi="宋体" w:eastAsia="宋体" w:cs="宋体"/>
          <w:b/>
          <w:sz w:val="32"/>
          <w:szCs w:val="32"/>
        </w:rPr>
      </w:pPr>
      <w:r>
        <w:rPr>
          <w:rFonts w:hint="eastAsia" w:ascii="宋体" w:hAnsi="宋体" w:eastAsia="宋体" w:cs="宋体"/>
          <w:b/>
          <w:sz w:val="32"/>
          <w:szCs w:val="32"/>
          <w:lang w:eastAsia="zh-CN"/>
        </w:rPr>
        <w:t>三</w:t>
      </w:r>
      <w:r>
        <w:rPr>
          <w:rFonts w:hint="eastAsia" w:ascii="宋体" w:hAnsi="宋体" w:eastAsia="宋体" w:cs="宋体"/>
          <w:b/>
          <w:sz w:val="32"/>
          <w:szCs w:val="32"/>
        </w:rPr>
        <w:t>、项目需求（文字说明并附相关清单）</w:t>
      </w:r>
    </w:p>
    <w:tbl>
      <w:tblPr>
        <w:tblStyle w:val="18"/>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2429"/>
        <w:gridCol w:w="971"/>
        <w:gridCol w:w="2011"/>
        <w:gridCol w:w="1275"/>
        <w:gridCol w:w="1418"/>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1107"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序号</w:t>
            </w:r>
          </w:p>
        </w:tc>
        <w:tc>
          <w:tcPr>
            <w:tcW w:w="2429"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货物名称</w:t>
            </w:r>
          </w:p>
        </w:tc>
        <w:tc>
          <w:tcPr>
            <w:tcW w:w="971"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数量</w:t>
            </w:r>
          </w:p>
        </w:tc>
        <w:tc>
          <w:tcPr>
            <w:tcW w:w="2011"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配置或</w:t>
            </w:r>
          </w:p>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技术参数</w:t>
            </w:r>
          </w:p>
        </w:tc>
        <w:tc>
          <w:tcPr>
            <w:tcW w:w="1275"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其他配件</w:t>
            </w:r>
          </w:p>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或备件</w:t>
            </w:r>
          </w:p>
        </w:tc>
        <w:tc>
          <w:tcPr>
            <w:tcW w:w="1418"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用途说明</w:t>
            </w:r>
          </w:p>
        </w:tc>
        <w:tc>
          <w:tcPr>
            <w:tcW w:w="1063"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sz w:val="32"/>
                <w:szCs w:val="32"/>
              </w:rPr>
            </w:pPr>
            <w:r>
              <w:rPr>
                <w:rFonts w:hint="eastAsia" w:ascii="宋体" w:hAnsi="宋体" w:eastAsia="宋体" w:cs="宋体"/>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jc w:val="center"/>
        </w:trPr>
        <w:tc>
          <w:tcPr>
            <w:tcW w:w="1107"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1</w:t>
            </w:r>
          </w:p>
        </w:tc>
        <w:tc>
          <w:tcPr>
            <w:tcW w:w="2429"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商务数据分析赛课融通平台</w:t>
            </w:r>
          </w:p>
        </w:tc>
        <w:tc>
          <w:tcPr>
            <w:tcW w:w="971"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1套</w:t>
            </w:r>
          </w:p>
        </w:tc>
        <w:tc>
          <w:tcPr>
            <w:tcW w:w="2011" w:type="dxa"/>
            <w:noWrap w:val="0"/>
            <w:vAlign w:val="center"/>
          </w:tcPr>
          <w:p>
            <w:pPr>
              <w:pageBreakBefore w:val="0"/>
              <w:tabs>
                <w:tab w:val="left" w:pos="5325"/>
              </w:tabs>
              <w:kinsoku/>
              <w:wordWrap/>
              <w:topLinePunct w:val="0"/>
              <w:bidi w:val="0"/>
              <w:snapToGrid w:val="0"/>
              <w:spacing w:line="480" w:lineRule="exact"/>
              <w:jc w:val="center"/>
              <w:rPr>
                <w:rFonts w:hint="default" w:ascii="宋体" w:hAnsi="宋体" w:eastAsia="宋体" w:cs="宋体"/>
                <w:b w:val="0"/>
                <w:bCs/>
                <w:sz w:val="32"/>
                <w:szCs w:val="32"/>
                <w:lang w:val="en-US" w:eastAsia="zh-CN"/>
              </w:rPr>
            </w:pPr>
            <w:r>
              <w:rPr>
                <w:rFonts w:hint="eastAsia" w:ascii="宋体" w:hAnsi="宋体" w:eastAsia="宋体" w:cs="宋体"/>
                <w:b w:val="0"/>
                <w:bCs/>
                <w:sz w:val="32"/>
                <w:szCs w:val="32"/>
              </w:rPr>
              <w:t>见</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四 具体参数”</w:t>
            </w:r>
          </w:p>
        </w:tc>
        <w:tc>
          <w:tcPr>
            <w:tcW w:w="1275"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无</w:t>
            </w:r>
          </w:p>
        </w:tc>
        <w:tc>
          <w:tcPr>
            <w:tcW w:w="1418" w:type="dxa"/>
            <w:noWrap w:val="0"/>
            <w:vAlign w:val="center"/>
          </w:tcPr>
          <w:p>
            <w:pPr>
              <w:pageBreakBefore w:val="0"/>
              <w:tabs>
                <w:tab w:val="left" w:pos="5325"/>
              </w:tabs>
              <w:kinsoku/>
              <w:wordWrap/>
              <w:topLinePunct w:val="0"/>
              <w:bidi w:val="0"/>
              <w:snapToGrid w:val="0"/>
              <w:spacing w:line="480" w:lineRule="exact"/>
              <w:jc w:val="center"/>
              <w:rPr>
                <w:rFonts w:hint="eastAsia" w:ascii="宋体" w:hAnsi="宋体" w:eastAsia="宋体" w:cs="宋体"/>
                <w:b w:val="0"/>
                <w:bCs/>
                <w:sz w:val="32"/>
                <w:szCs w:val="32"/>
              </w:rPr>
            </w:pPr>
            <w:r>
              <w:rPr>
                <w:rFonts w:hint="eastAsia" w:ascii="宋体" w:hAnsi="宋体" w:eastAsia="宋体" w:cs="宋体"/>
                <w:b w:val="0"/>
                <w:bCs/>
                <w:sz w:val="32"/>
                <w:szCs w:val="32"/>
              </w:rPr>
              <w:t>技能大赛、教学实训</w:t>
            </w:r>
          </w:p>
        </w:tc>
        <w:tc>
          <w:tcPr>
            <w:tcW w:w="1063" w:type="dxa"/>
            <w:noWrap w:val="0"/>
            <w:vAlign w:val="center"/>
          </w:tcPr>
          <w:p>
            <w:pPr>
              <w:pageBreakBefore w:val="0"/>
              <w:tabs>
                <w:tab w:val="left" w:pos="5325"/>
              </w:tabs>
              <w:kinsoku/>
              <w:wordWrap/>
              <w:topLinePunct w:val="0"/>
              <w:bidi w:val="0"/>
              <w:spacing w:line="480" w:lineRule="exact"/>
              <w:jc w:val="center"/>
              <w:rPr>
                <w:rFonts w:hint="eastAsia" w:ascii="宋体" w:hAnsi="宋体" w:eastAsia="宋体" w:cs="宋体"/>
                <w:sz w:val="32"/>
                <w:szCs w:val="32"/>
              </w:rPr>
            </w:pPr>
          </w:p>
        </w:tc>
      </w:tr>
    </w:tbl>
    <w:p>
      <w:pPr>
        <w:pageBreakBefore w:val="0"/>
        <w:tabs>
          <w:tab w:val="left" w:pos="5325"/>
        </w:tabs>
        <w:kinsoku/>
        <w:wordWrap/>
        <w:topLinePunct w:val="0"/>
        <w:bidi w:val="0"/>
        <w:snapToGrid w:val="0"/>
        <w:spacing w:line="480" w:lineRule="exact"/>
        <w:ind w:left="692" w:leftChars="266"/>
        <w:contextualSpacing/>
        <w:rPr>
          <w:rFonts w:hint="eastAsia" w:ascii="宋体" w:hAnsi="宋体" w:eastAsia="宋体" w:cs="宋体"/>
          <w:b/>
          <w:sz w:val="32"/>
          <w:szCs w:val="32"/>
          <w:lang w:eastAsia="zh-CN"/>
        </w:rPr>
      </w:pPr>
      <w:r>
        <w:rPr>
          <w:rFonts w:hint="eastAsia" w:ascii="宋体" w:hAnsi="宋体" w:eastAsia="宋体" w:cs="宋体"/>
          <w:b/>
          <w:sz w:val="32"/>
          <w:szCs w:val="32"/>
          <w:lang w:eastAsia="zh-CN"/>
        </w:rPr>
        <w:t>四</w:t>
      </w:r>
      <w:r>
        <w:rPr>
          <w:rFonts w:hint="eastAsia" w:ascii="宋体" w:hAnsi="宋体" w:eastAsia="宋体" w:cs="宋体"/>
          <w:b/>
          <w:sz w:val="32"/>
          <w:szCs w:val="32"/>
        </w:rPr>
        <w:t>、</w:t>
      </w:r>
      <w:r>
        <w:rPr>
          <w:rFonts w:hint="eastAsia" w:ascii="宋体" w:hAnsi="宋体" w:eastAsia="宋体" w:cs="宋体"/>
          <w:b/>
          <w:sz w:val="32"/>
          <w:szCs w:val="32"/>
          <w:lang w:eastAsia="zh-CN"/>
        </w:rPr>
        <w:t>具体参数</w:t>
      </w:r>
    </w:p>
    <w:p>
      <w:pPr>
        <w:pStyle w:val="3"/>
        <w:pageBreakBefore w:val="0"/>
        <w:kinsoku/>
        <w:wordWrap/>
        <w:topLinePunct w:val="0"/>
        <w:bidi w:val="0"/>
        <w:adjustRightInd w:val="0"/>
        <w:snapToGrid w:val="0"/>
        <w:spacing w:before="0" w:after="0" w:line="480" w:lineRule="exact"/>
        <w:ind w:firstLine="641" w:firstLineChars="200"/>
        <w:rPr>
          <w:rFonts w:hint="eastAsia" w:ascii="宋体" w:hAnsi="宋体" w:eastAsia="宋体" w:cs="宋体"/>
          <w:bCs/>
          <w:sz w:val="32"/>
          <w:szCs w:val="32"/>
        </w:rPr>
      </w:pPr>
      <w:r>
        <w:rPr>
          <w:rFonts w:hint="eastAsia" w:ascii="宋体" w:hAnsi="宋体" w:eastAsia="宋体" w:cs="宋体"/>
          <w:bCs/>
          <w:sz w:val="32"/>
          <w:szCs w:val="32"/>
        </w:rPr>
        <w:t>总体要求</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1.要求系统架构按照大型分布式架构设计，支持高并发，高可用的业务需求。使用微服务框架，实现系统模块灵活配置，数据动静分离；支撑大范围专业建设开课要求：Windows7 32位/64位，Windows8 32位/64位，Windows10 32位/64位，Mac OS 10.10，Mac OS 10.11，Mac OS 10.12。</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2.要求系统采用B/S架构，无需安装客户端，使用时只要打开IE、chrome、火狐、360等任意一款浏览器即可轻松实现所有操作。</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3.要求使用MySQL开源数据库，可通过水平扩展来达到高可用性和高性能。</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4.要求采用当前流行的Spring Boot，Spring Cloud，MyBatis技术框架，展现层需要通过Vue和相关标签实现，实现前后端分离；模型层通过Java接口及实现类来实现；与数据库的接口采用轻量级封装MyBatis提供的接口；系统所有操作都具备系统日志与业务日志级别。</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5.要求系统可以抵御常用攻击手段，如SQL注入，CSRF、XSS等。</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6.要求使用Redis缓存数据库来进行用户数据的缓存，增加系统响应速度并优化用户的体验。</w:t>
      </w:r>
    </w:p>
    <w:p>
      <w:pPr>
        <w:pStyle w:val="7"/>
        <w:pageBreakBefore w:val="0"/>
        <w:kinsoku/>
        <w:wordWrap/>
        <w:topLinePunct w:val="0"/>
        <w:bidi w:val="0"/>
        <w:adjustRightInd w:val="0"/>
        <w:snapToGrid w:val="0"/>
        <w:spacing w:after="0"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★7.要求使用多用户的统一登录口，系统管理员、教师、学生统一登陆口，只需输入各自的用户名及密码即可登录。</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8.系统可在线升级，在联网情况下支持系统功能远程升级。</w:t>
      </w:r>
    </w:p>
    <w:p>
      <w:pPr>
        <w:pStyle w:val="7"/>
        <w:pageBreakBefore w:val="0"/>
        <w:kinsoku/>
        <w:wordWrap/>
        <w:topLinePunct w:val="0"/>
        <w:bidi w:val="0"/>
        <w:adjustRightInd w:val="0"/>
        <w:snapToGrid w:val="0"/>
        <w:spacing w:after="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9.系统采用混合云服务器部署。</w:t>
      </w:r>
    </w:p>
    <w:p>
      <w:pPr>
        <w:pStyle w:val="7"/>
        <w:pageBreakBefore w:val="0"/>
        <w:kinsoku/>
        <w:wordWrap/>
        <w:topLinePunct w:val="0"/>
        <w:bidi w:val="0"/>
        <w:adjustRightInd w:val="0"/>
        <w:snapToGrid w:val="0"/>
        <w:spacing w:after="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一、教学平台</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（一）教务管理</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1.教师管理。</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系统管理员可创建管理教师账号，可进行查询、添加、批量导入、批量删除等操作。系统可记录教师姓名、身份证号、手机号等信息，便于管理员进行教师信息管理。</w:t>
      </w:r>
    </w:p>
    <w:p>
      <w:pPr>
        <w:pStyle w:val="17"/>
        <w:pageBreakBefore w:val="0"/>
        <w:kinsoku/>
        <w:wordWrap/>
        <w:topLinePunct w:val="0"/>
        <w:bidi w:val="0"/>
        <w:adjustRightInd w:val="0"/>
        <w:snapToGrid w:val="0"/>
        <w:spacing w:after="0" w:line="480" w:lineRule="exact"/>
        <w:ind w:left="0" w:leftChars="0" w:firstLine="0" w:firstLineChars="0"/>
        <w:rPr>
          <w:rFonts w:hint="eastAsia" w:ascii="宋体" w:hAnsi="宋体" w:eastAsia="宋体" w:cs="宋体"/>
          <w:sz w:val="32"/>
          <w:szCs w:val="32"/>
        </w:rPr>
      </w:pPr>
      <w:r>
        <w:rPr>
          <w:rFonts w:hint="eastAsia" w:ascii="宋体" w:hAnsi="宋体" w:eastAsia="宋体" w:cs="宋体"/>
          <w:sz w:val="32"/>
          <w:szCs w:val="32"/>
        </w:rPr>
        <w:t>2.学生管理</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系统管理员可创建管理学生账号，可进行查询、添加、批量导入、批量导出、批量删除等操作。系统可记录学生姓名、身份证号、入学年份、手机号、班级等信息，便于管理员进行学生管理。</w:t>
      </w:r>
    </w:p>
    <w:p>
      <w:pPr>
        <w:pStyle w:val="17"/>
        <w:pageBreakBefore w:val="0"/>
        <w:kinsoku/>
        <w:wordWrap/>
        <w:topLinePunct w:val="0"/>
        <w:bidi w:val="0"/>
        <w:adjustRightInd w:val="0"/>
        <w:snapToGrid w:val="0"/>
        <w:spacing w:after="0" w:line="480" w:lineRule="exact"/>
        <w:ind w:left="0" w:leftChars="0" w:firstLine="0" w:firstLineChars="0"/>
        <w:rPr>
          <w:rFonts w:hint="eastAsia" w:ascii="宋体" w:hAnsi="宋体" w:eastAsia="宋体" w:cs="宋体"/>
          <w:sz w:val="32"/>
          <w:szCs w:val="32"/>
        </w:rPr>
      </w:pPr>
      <w:r>
        <w:rPr>
          <w:rFonts w:hint="eastAsia" w:ascii="宋体" w:hAnsi="宋体" w:eastAsia="宋体" w:cs="宋体"/>
          <w:sz w:val="32"/>
          <w:szCs w:val="32"/>
        </w:rPr>
        <w:t>3.组织管理</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★（1）组织机构。可以在组织机构内创建一级和二级组织，可以设置每个组织开通哪些产品。</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（2）班级管理。可以创建管理行政班，并可以进行班级内学生的创建管理。支持学生账号的批量导入和导出等操作。</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（3）角色权限。可以创建编辑管理员角色，每个角色的权限可以不同。</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（4）设置管理员。可以进行管理员账号的创建、编辑、重置密码等操作。</w:t>
      </w:r>
    </w:p>
    <w:p>
      <w:pPr>
        <w:pStyle w:val="17"/>
        <w:pageBreakBefore w:val="0"/>
        <w:kinsoku/>
        <w:wordWrap/>
        <w:topLinePunct w:val="0"/>
        <w:bidi w:val="0"/>
        <w:adjustRightInd w:val="0"/>
        <w:snapToGrid w:val="0"/>
        <w:spacing w:after="0" w:line="480" w:lineRule="exact"/>
        <w:ind w:left="0" w:leftChars="0" w:firstLine="0" w:firstLineChars="0"/>
        <w:rPr>
          <w:rFonts w:hint="eastAsia" w:ascii="宋体" w:hAnsi="宋体" w:eastAsia="宋体" w:cs="宋体"/>
          <w:sz w:val="32"/>
          <w:szCs w:val="32"/>
        </w:rPr>
      </w:pPr>
      <w:r>
        <w:rPr>
          <w:rFonts w:hint="eastAsia" w:ascii="宋体" w:hAnsi="宋体" w:eastAsia="宋体" w:cs="宋体"/>
          <w:sz w:val="32"/>
          <w:szCs w:val="32"/>
        </w:rPr>
        <w:t>★4.整体数据：</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（1）运营数据：机构开通天数、教学班、行政班、管理员、教师、学生数量以及按时间查看新增注册用户数；</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（2）专业人数统计：查看课程未学人数、在学人数和已学人数，也可查看学生选课量排行和教师授课学员数排行；</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（3）学习时长统计：查看课程的学习时长趋势，教学班平均学习时长排行和学生学习时长排行；</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（4）测验统计：可查看历次测验平均分，以及班级最低分、最高分、平均分。</w:t>
      </w:r>
    </w:p>
    <w:p>
      <w:pPr>
        <w:pStyle w:val="17"/>
        <w:pageBreakBefore w:val="0"/>
        <w:kinsoku/>
        <w:wordWrap/>
        <w:topLinePunct w:val="0"/>
        <w:bidi w:val="0"/>
        <w:adjustRightInd w:val="0"/>
        <w:snapToGrid w:val="0"/>
        <w:spacing w:after="0" w:line="480" w:lineRule="exact"/>
        <w:ind w:left="0" w:leftChars="0" w:firstLine="0" w:firstLineChars="0"/>
        <w:rPr>
          <w:rFonts w:hint="eastAsia" w:ascii="宋体" w:hAnsi="宋体" w:eastAsia="宋体" w:cs="宋体"/>
          <w:sz w:val="32"/>
          <w:szCs w:val="32"/>
        </w:rPr>
      </w:pPr>
      <w:r>
        <w:rPr>
          <w:rFonts w:hint="eastAsia" w:ascii="宋体" w:hAnsi="宋体" w:eastAsia="宋体" w:cs="宋体"/>
          <w:sz w:val="32"/>
          <w:szCs w:val="32"/>
        </w:rPr>
        <w:t>5.资源统计：</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（1）产品统计：开通产品数，课程资源数，试卷资源数；</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（2）素材统计：素材总数、总量、视频总时长、媒体类型分类及活跃资源占比；</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（3）题目统计：题库总量及分类（按主客观、题型、难度）。</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（二）课程管理</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1.备课</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教师可在课程目录中上传自己的课件素材，可创建作业任务。添加的素材可设置是否允许下载，创建的作业支持上传附件。</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2.开课管理</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老师可用编辑好的课程进行开班课操作。开班后可以把学生添加到班课中，支持直接在系统中导入学生。</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3.班级设置</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（1）导航设置。可以设置教师端和学生端开启的功能栏目，并可以拖动进行排序。</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（2）助教设置。可以在班级里添加多个助教，可以设置助教的权限范围。</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（3）实训设置。可以批量设置实训目录内实训题的答案状态，可选择开放或隐藏。</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（三）教学工具</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1.讨论答疑</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话题讨论功能模块，让老师与学生频繁互动，项目进行过程中遇到问题、难点及时交流、反馈，让问题落地解决。</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2.课程笔记</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学生在学习过程中随时可以记录想法、问题等，可根据章节目录进行查询。老师可以查看学生笔记，学生之间、师生之间可以互评笔记。</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3.班课通知</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教师在课程教学当中可以向所教班级发布课程通知，学生可查看课程通知，达到师生之间信息互通的目的。</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4.课后作业</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教师可以下发作业给学生，并可以对上交的作业进行批阅打分。学生可在线提交作业，作业支持在线书写并可上传附件。</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5.板书记录</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老师在上课模式保存的板书，会以目录分类的方式进行存储，在板书记录中可以进行查看、添加、删除、修改等操作，学生也可以在板书记录中进行查看。</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6学习排名</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（1）学习进度统计：可查看课程进度、不同类型资源（视频、文档、试题、测验等）完成进度、学习轨迹以及课件学习时长（个人时长、班级最高时长及班级平均时长）；</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（2）笔记、讨论统计：包含学生在班课内的公开笔记数、讨论主题数、回复和评论数；</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（3）测验统计：可查看个人分数、班级最高分及平均分，历次测验平均分以及每次测验的名次；</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（4）班级排名：根据课程进度、实操进度、测验进度、测验平均分、笔记和讨论数等综合数据进行班内排名。</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（四）实训</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1实训</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教师可使用实训课程进行学生培训，通过实训课程可进入业务实操系统进行实操训练。</w:t>
      </w:r>
    </w:p>
    <w:p>
      <w:pPr>
        <w:pageBreakBefore w:val="0"/>
        <w:kinsoku/>
        <w:wordWrap/>
        <w:topLinePunct w:val="0"/>
        <w:bidi w:val="0"/>
        <w:adjustRightInd w:val="0"/>
        <w:snapToGrid w:val="0"/>
        <w:spacing w:line="480" w:lineRule="exact"/>
        <w:rPr>
          <w:rFonts w:hint="eastAsia" w:ascii="宋体" w:hAnsi="宋体" w:eastAsia="宋体" w:cs="宋体"/>
          <w:color w:val="000000"/>
          <w:sz w:val="32"/>
          <w:szCs w:val="32"/>
        </w:rPr>
      </w:pPr>
      <w:r>
        <w:rPr>
          <w:rFonts w:hint="eastAsia" w:ascii="宋体" w:hAnsi="宋体" w:eastAsia="宋体" w:cs="宋体"/>
          <w:b/>
          <w:bCs/>
          <w:sz w:val="32"/>
          <w:szCs w:val="32"/>
        </w:rPr>
        <w:t>★</w:t>
      </w:r>
      <w:r>
        <w:rPr>
          <w:rFonts w:hint="eastAsia" w:ascii="宋体" w:hAnsi="宋体" w:eastAsia="宋体" w:cs="宋体"/>
          <w:color w:val="000000"/>
          <w:sz w:val="32"/>
          <w:szCs w:val="32"/>
        </w:rPr>
        <w:t>2答案对比</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支持学生端答案显示与否的教学控制，配合老师对于课堂的教学管理。学生完成任务后可查看任务答案，和自己操作的数据进行对比。</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（五）数据统计</w:t>
      </w:r>
    </w:p>
    <w:p>
      <w:pPr>
        <w:pStyle w:val="15"/>
        <w:pageBreakBefore w:val="0"/>
        <w:shd w:val="clear" w:color="auto" w:fill="FFFFFF"/>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1基础统计</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（1）可查看班级人数、在学人数、未学人数。</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（2）可查看最近学习人数统计图，可按照周、月两个维度进行展示。</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（3）讨论统计，包含班课内讨论总条数、主题数、回复和评论数，以及本人发布的讨论统计。</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（4）学生公开笔记条数统计。</w:t>
      </w:r>
    </w:p>
    <w:p>
      <w:pPr>
        <w:pStyle w:val="15"/>
        <w:pageBreakBefore w:val="0"/>
        <w:shd w:val="clear" w:color="auto" w:fill="FFFFFF"/>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2课程进度统计</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（1）任务统计。可查看班级整体进度、任务总数。可查询每个学生的学习进度，并可查看详情，查看每个任务的完成情况。任务统计支持导出记录。</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（2）实操练习统计。可按学员维度和试题维度查询学生的学习情况。学员维度可查看每个学生的完成数量、完成率、正确率，可进行排序。试题维度可查看每个学员的提交数量、提交率、正确率，可进行排序。</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章节测验统计。可按照学员维度及测验维度进行统计查询。学员维度可以查询每个学员的完成数量、完成率、平均分，并可查看每个学生每一个测验的作答详情及得分。测验维度可查询每个章节测验提交数量、提交率、平均分，并可查看每个学生的作答详情及分数。</w:t>
      </w:r>
    </w:p>
    <w:p>
      <w:pPr>
        <w:pStyle w:val="15"/>
        <w:pageBreakBefore w:val="0"/>
        <w:shd w:val="clear" w:color="auto" w:fill="FFFFFF"/>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3实训进度统计</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（1）整体统计。可查看任务总数及班级整体进度。</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（2）按学员维度统计。可查询每个学员的完成数量、完成率、正确率，并可查看每个实训题的答题情况。可导出查询记录。</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（3）任务维度。可按照任务查询提交数量、提交率、正确率，并可查看每个学生的提交情况。</w:t>
      </w:r>
    </w:p>
    <w:p>
      <w:pPr>
        <w:pStyle w:val="3"/>
        <w:pageBreakBefore w:val="0"/>
        <w:kinsoku/>
        <w:wordWrap/>
        <w:topLinePunct w:val="0"/>
        <w:bidi w:val="0"/>
        <w:spacing w:line="48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二、训练平台</w:t>
      </w:r>
    </w:p>
    <w:p>
      <w:pPr>
        <w:pStyle w:val="7"/>
        <w:pageBreakBefore w:val="0"/>
        <w:kinsoku/>
        <w:wordWrap/>
        <w:topLinePunct w:val="0"/>
        <w:bidi w:val="0"/>
        <w:adjustRightInd w:val="0"/>
        <w:snapToGrid w:val="0"/>
        <w:spacing w:after="0" w:line="480" w:lineRule="exact"/>
        <w:ind w:firstLine="640" w:firstLineChars="200"/>
        <w:jc w:val="left"/>
        <w:rPr>
          <w:rFonts w:hint="eastAsia" w:ascii="宋体" w:hAnsi="宋体" w:eastAsia="宋体" w:cs="宋体"/>
          <w:sz w:val="32"/>
          <w:szCs w:val="32"/>
        </w:rPr>
      </w:pPr>
      <w:bookmarkStart w:id="4" w:name="_Hlk143786550"/>
      <w:r>
        <w:rPr>
          <w:rFonts w:hint="eastAsia" w:ascii="宋体" w:hAnsi="宋体" w:eastAsia="宋体" w:cs="宋体"/>
          <w:sz w:val="32"/>
          <w:szCs w:val="32"/>
        </w:rPr>
        <w:t>提供在线训练，供学生实务训练使用。学生采用个人测评训练方式，以企业真实商务数据为基础，通过处理实际的数据分析案例，培养学生数据采集、数据清洗、数据处理、数据分析、数据可视化、决策支持等动手操作能力。平台与教学系统、测评系统深度集成，并能进行试题自动评分，适配《商务数据分析》课程的教学和学生训练</w:t>
      </w:r>
      <w:bookmarkEnd w:id="4"/>
      <w:r>
        <w:rPr>
          <w:rFonts w:hint="eastAsia" w:ascii="宋体" w:hAnsi="宋体" w:eastAsia="宋体" w:cs="宋体"/>
          <w:sz w:val="32"/>
          <w:szCs w:val="32"/>
        </w:rPr>
        <w:t>。</w:t>
      </w:r>
    </w:p>
    <w:p>
      <w:pPr>
        <w:pStyle w:val="7"/>
        <w:pageBreakBefore w:val="0"/>
        <w:kinsoku/>
        <w:wordWrap/>
        <w:topLinePunct w:val="0"/>
        <w:bidi w:val="0"/>
        <w:adjustRightInd w:val="0"/>
        <w:snapToGrid w:val="0"/>
        <w:spacing w:after="0" w:line="480" w:lineRule="exact"/>
        <w:jc w:val="left"/>
        <w:rPr>
          <w:rFonts w:hint="eastAsia" w:ascii="宋体" w:hAnsi="宋体" w:eastAsia="宋体" w:cs="宋体"/>
          <w:b/>
          <w:bCs/>
          <w:sz w:val="32"/>
          <w:szCs w:val="32"/>
        </w:rPr>
      </w:pPr>
      <w:r>
        <w:rPr>
          <w:rFonts w:hint="eastAsia" w:ascii="宋体" w:hAnsi="宋体" w:eastAsia="宋体" w:cs="宋体"/>
          <w:b/>
          <w:bCs/>
          <w:kern w:val="44"/>
          <w:sz w:val="32"/>
          <w:szCs w:val="32"/>
        </w:rPr>
        <w:t>商务数据分析平台（标准版）</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（一）大数据分析平台</w:t>
      </w:r>
    </w:p>
    <w:p>
      <w:pPr>
        <w:pStyle w:val="21"/>
        <w:pageBreakBefore w:val="0"/>
        <w:kinsoku/>
        <w:wordWrap/>
        <w:topLinePunct w:val="0"/>
        <w:bidi w:val="0"/>
        <w:adjustRightInd w:val="0"/>
        <w:snapToGrid w:val="0"/>
        <w:spacing w:line="480" w:lineRule="exact"/>
        <w:ind w:firstLine="480"/>
        <w:rPr>
          <w:rFonts w:hint="eastAsia" w:ascii="宋体" w:hAnsi="宋体" w:eastAsia="宋体" w:cs="宋体"/>
          <w:sz w:val="32"/>
          <w:szCs w:val="32"/>
        </w:rPr>
      </w:pPr>
      <w:r>
        <w:rPr>
          <w:rFonts w:hint="eastAsia" w:ascii="宋体" w:hAnsi="宋体" w:eastAsia="宋体" w:cs="宋体"/>
          <w:color w:val="000000"/>
          <w:sz w:val="32"/>
          <w:szCs w:val="32"/>
          <w:lang w:bidi="ar"/>
        </w:rPr>
        <w:t>★</w:t>
      </w:r>
      <w:r>
        <w:rPr>
          <w:rFonts w:hint="eastAsia" w:ascii="宋体" w:hAnsi="宋体" w:eastAsia="宋体" w:cs="宋体"/>
          <w:sz w:val="32"/>
          <w:szCs w:val="32"/>
        </w:rPr>
        <w:t>1.大数据分析平台采用云端操作，无需本地安装。</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w:t>
      </w:r>
      <w:r>
        <w:rPr>
          <w:rFonts w:hint="eastAsia" w:ascii="宋体" w:hAnsi="宋体" w:eastAsia="宋体" w:cs="宋体"/>
          <w:sz w:val="32"/>
          <w:szCs w:val="32"/>
        </w:rPr>
        <w:t>2.</w:t>
      </w:r>
      <w:r>
        <w:rPr>
          <w:rFonts w:hint="eastAsia" w:ascii="宋体" w:hAnsi="宋体" w:eastAsia="宋体" w:cs="宋体"/>
          <w:color w:val="000000"/>
          <w:sz w:val="32"/>
          <w:szCs w:val="32"/>
          <w:lang w:bidi="ar"/>
        </w:rPr>
        <w:t>内置商务数据</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sz w:val="32"/>
          <w:szCs w:val="32"/>
        </w:rPr>
        <w:t>数据资源库已预置常用的公司近五年的脱敏商务数据</w:t>
      </w:r>
      <w:r>
        <w:rPr>
          <w:rFonts w:hint="eastAsia" w:ascii="宋体" w:hAnsi="宋体" w:eastAsia="宋体" w:cs="宋体"/>
          <w:color w:val="000000"/>
          <w:sz w:val="32"/>
          <w:szCs w:val="32"/>
          <w:lang w:bidi="ar"/>
        </w:rPr>
        <w:t>，包括交易数据、客户数据、供应链数据、商品数据、营销数据等，并可持续更新数据。</w:t>
      </w:r>
      <w:r>
        <w:rPr>
          <w:rFonts w:hint="eastAsia" w:ascii="宋体" w:hAnsi="宋体" w:eastAsia="宋体" w:cs="宋体"/>
          <w:sz w:val="32"/>
          <w:szCs w:val="32"/>
        </w:rPr>
        <w:t>无需本地安装大数据分析工具，轻松支持各种数据分析等相关学习任务。</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3.数据集</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数据集功能提供通过可视化操作创建数据集，将数据源添加到数据集设计器中。设计器分为四大区域，分别为菜单栏、数据源列表区、数据集编辑区以及预览区域，用于创建仪表板或报表。</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3.1多表关联</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系统支持将多个数据表拼接成一张表使用的情况。提供了联合（Union）和连接（Join）功能来实现数据表的左右拼接和上下拼接。</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3.2分组视图</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可对原数据进行分组、聚合处理，处理后的数据集结构简单，数据可用性更高，更加方便后续在仪表板或报表中使用。</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将字段拖拽到分组区域即可按照该字段进行分组。</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将字段拖拽到聚合区域即可对其进行聚合运算。对于数值型的字段支持的聚合运算有Sum、Average、Max、Min；而对于非数值型字段则可以进行Count和Distinct Count运算。</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3.3添加自定义字段</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添加自定义字段可以在不影响原数据的情况下通过对现有数据进行计算而得到一个新的数据字段。</w:t>
      </w:r>
    </w:p>
    <w:p>
      <w:pPr>
        <w:pStyle w:val="21"/>
        <w:pageBreakBefore w:val="0"/>
        <w:kinsoku/>
        <w:wordWrap/>
        <w:topLinePunct w:val="0"/>
        <w:bidi w:val="0"/>
        <w:adjustRightInd w:val="0"/>
        <w:snapToGrid w:val="0"/>
        <w:spacing w:line="480" w:lineRule="exact"/>
        <w:ind w:firstLine="480"/>
        <w:rPr>
          <w:rFonts w:hint="eastAsia" w:ascii="宋体" w:hAnsi="宋体" w:eastAsia="宋体" w:cs="宋体"/>
          <w:sz w:val="32"/>
          <w:szCs w:val="32"/>
        </w:rPr>
      </w:pPr>
      <w:r>
        <w:rPr>
          <w:rFonts w:hint="eastAsia" w:ascii="宋体" w:hAnsi="宋体" w:eastAsia="宋体" w:cs="宋体"/>
          <w:sz w:val="32"/>
          <w:szCs w:val="32"/>
        </w:rPr>
        <w:t>4.仪表板</w:t>
      </w:r>
    </w:p>
    <w:p>
      <w:pPr>
        <w:pStyle w:val="21"/>
        <w:pageBreakBefore w:val="0"/>
        <w:kinsoku/>
        <w:wordWrap/>
        <w:topLinePunct w:val="0"/>
        <w:bidi w:val="0"/>
        <w:adjustRightInd w:val="0"/>
        <w:snapToGrid w:val="0"/>
        <w:spacing w:line="480" w:lineRule="exact"/>
        <w:ind w:firstLine="480"/>
        <w:rPr>
          <w:rFonts w:hint="eastAsia" w:ascii="宋体" w:hAnsi="宋体" w:eastAsia="宋体" w:cs="宋体"/>
          <w:sz w:val="32"/>
          <w:szCs w:val="32"/>
        </w:rPr>
      </w:pPr>
      <w:r>
        <w:rPr>
          <w:rFonts w:hint="eastAsia" w:ascii="宋体" w:hAnsi="宋体" w:eastAsia="宋体" w:cs="宋体"/>
          <w:sz w:val="32"/>
          <w:szCs w:val="32"/>
        </w:rPr>
        <w:t>以拖拽方式快速设计仪表板，而且支持多页面仪表板功能,</w:t>
      </w:r>
      <w:r>
        <w:rPr>
          <w:rFonts w:hint="eastAsia" w:ascii="宋体" w:hAnsi="宋体" w:eastAsia="宋体" w:cs="宋体"/>
          <w:color w:val="000000"/>
          <w:sz w:val="32"/>
          <w:szCs w:val="32"/>
          <w:lang w:bidi="ar"/>
        </w:rPr>
        <w:t>可以在一个仪表板中分配展示不同的数据页面。</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★4.1计算图表</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支持 Excel 的数据分析方式和 450+ 计算公式完整的集成到仪表板设计器中，为BI仪表板提供增强型计算分析能力。重要使用场景包括：</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（1）跨数据集的计算分析，例如：市场、竞争分析；运营、商品、供应链分析；计划、执行和效果分析等。</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（2）系统数据和录入数据联合分析，例如：基于系统中2020-2022历史数据，进行2023年的销售计划制定与分析的需要。</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（3）各种比例计算分析，例如：当月销售收入、当月销售环比增长率、同比增长率，当月销售计划完成率、累计销售完成率等。</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（4）行业特殊计算公式，例如：日期和时间、统计、文本、逻辑、Web等领域需要提供了计算公式。</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★4.2丰富的数据可视化效果</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仪表板内置30种以上数据可视化效果，包括：条形图、柱状图、折线图、面积图、饼图、玫瑰图、旭日图、雷达图、散点图、气泡图、树形图、组合图、KPI指标卡、3D地图、表格、透视表、迷你图等。</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4.3数据筛选、联动分析与钻取分析</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在仪表板中，可以添加多种数据筛选，包括：日期、名称等。在使用仪表板时，支持筛选数据，支持联动分析，支持钻取分析。</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5.报表</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基于HTML5的在线报表设计器，可自定义报表设计，快速搭建分析报表。可跨桌面电脑、平板电脑及手持设备等平台显示设计报表。在设计时即可预览最终效果，随时修改设计。</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5.1支持多数据源查询、计算公式</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同一张报表可以连接到多个数据源进行查询。报表支持添加多数据集、跨数据集运算功能。设计器中提供了日期、文本、数学、逻辑运算、数据聚合、数据转换等函数，便于在报表内进行数据的二次运算。</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5.2可创建各种样式的报表</w:t>
      </w:r>
    </w:p>
    <w:p>
      <w:pPr>
        <w:pStyle w:val="21"/>
        <w:pageBreakBefore w:val="0"/>
        <w:kinsoku/>
        <w:wordWrap/>
        <w:topLinePunct w:val="0"/>
        <w:bidi w:val="0"/>
        <w:adjustRightInd w:val="0"/>
        <w:snapToGrid w:val="0"/>
        <w:spacing w:line="480" w:lineRule="exact"/>
        <w:ind w:firstLine="480"/>
        <w:rPr>
          <w:rFonts w:hint="eastAsia" w:ascii="宋体" w:hAnsi="宋体" w:eastAsia="宋体" w:cs="宋体"/>
          <w:color w:val="000000"/>
          <w:sz w:val="32"/>
          <w:szCs w:val="32"/>
          <w:lang w:bidi="ar"/>
        </w:rPr>
      </w:pPr>
      <w:r>
        <w:rPr>
          <w:rFonts w:hint="eastAsia" w:ascii="宋体" w:hAnsi="宋体" w:eastAsia="宋体" w:cs="宋体"/>
          <w:color w:val="000000"/>
          <w:sz w:val="32"/>
          <w:szCs w:val="32"/>
          <w:lang w:bidi="ar"/>
        </w:rPr>
        <w:t>设计器中提供表格、矩表、图表、迷你图、数据条、图片、条码、子报表、文档目录、文本框、复选框等报表元素。</w:t>
      </w:r>
    </w:p>
    <w:p>
      <w:pPr>
        <w:pStyle w:val="3"/>
        <w:pageBreakBefore w:val="0"/>
        <w:kinsoku/>
        <w:wordWrap/>
        <w:topLinePunct w:val="0"/>
        <w:bidi w:val="0"/>
        <w:spacing w:line="48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三、测评系统</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测评系统包含随堂测验、课程考试两个模块，可以全方位检测学生学习效果，并及时查漏补缺。</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（一）随堂测验</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完成每一个课程单元的学习后，学生可进行随堂测验，支持练习模式，每次提交后都显示答题正误和答题总分。随堂测验支持重复作答，不限次数。</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（二）★课程考试</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教师可对所教班级设置课程考试，可单独或批量进行设置。可手动触发公布答案，也可以在考试时间结束后自动公布答案。教师发布考试信息后，学生即可在规定的考试时间内完成作答。教师公布答案后，学生可查看个人得分以及每一题的正误情况。</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教师可看到学生考试提交情况，包括班级交卷人数、班级最高分、平均分，每一位学生的答题得分、正误情况以及每一题的班级整体正误情况。</w:t>
      </w:r>
    </w:p>
    <w:p>
      <w:pPr>
        <w:pStyle w:val="3"/>
        <w:pageBreakBefore w:val="0"/>
        <w:kinsoku/>
        <w:wordWrap/>
        <w:topLinePunct w:val="0"/>
        <w:bidi w:val="0"/>
        <w:spacing w:line="48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四、数字课程</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（一）课程简介</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商务大数据分析》课程是商业智能BI平台为载体，按照商贸领域职业场景和数据分析的工作流程设计教学单元和工作任务，使学生具备一定的商务数据分析思维，能够操作数据工具，并按照标准化流程进行数据采集、数据处理、数据分析、数据可视化等操作。平台集教学、训练、测评等功能于一体，满足院校师生教学及实训需求。</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（二）课程内容</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《商务大数据分析》课程主要包括8个项目，共20个任务，具体如下：</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项目一 商务大数据分析概述</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任务一 商务数据思维与职业素养</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任务二 商务数据分析基本流程</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任务三 商务数据分析方法与工具</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项目二 商务数据准备</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任务一 构建商务数据模型</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任务二 商务数据预处理</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项目三 商品数据分析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任务一 商品销售分析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任务二 商品销售预测</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项目四 竞争数据分析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任务一 市场规模与趋势分析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任务二 市场集中度分析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任务三 竞争对手分析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任务四 竞品分析</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项目五 营销推广数据分析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任务一 关键词推广效果分析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任务二 转化漏斗分析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任务三 投资回报分析</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项目六 客户数据分析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任务一 客户人群画像</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任务二 客户价值分析</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项目七 供应链数据分析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任务一 采购订单分析</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任务二 库存管理</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项目八 商务数据分析报告</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任务一 商务数据分析报告撰写</w:t>
      </w:r>
    </w:p>
    <w:p>
      <w:pPr>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任务二 商务数据分析报告案例</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（三）课程资源</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商务数据分析课程资源丰富，包含PPT、动画、视频等课程资源：</w:t>
      </w:r>
    </w:p>
    <w:p>
      <w:pPr>
        <w:pStyle w:val="7"/>
        <w:pageBreakBefore w:val="0"/>
        <w:kinsoku/>
        <w:wordWrap/>
        <w:topLinePunct w:val="0"/>
        <w:bidi w:val="0"/>
        <w:adjustRightInd w:val="0"/>
        <w:snapToGrid w:val="0"/>
        <w:spacing w:after="0" w:line="480" w:lineRule="exact"/>
        <w:rPr>
          <w:rFonts w:hint="eastAsia" w:ascii="宋体" w:hAnsi="宋体" w:eastAsia="宋体" w:cs="宋体"/>
          <w:sz w:val="32"/>
          <w:szCs w:val="32"/>
        </w:rPr>
      </w:pPr>
      <w:r>
        <w:rPr>
          <w:rFonts w:hint="eastAsia" w:ascii="宋体" w:hAnsi="宋体" w:eastAsia="宋体" w:cs="宋体"/>
          <w:sz w:val="32"/>
          <w:szCs w:val="32"/>
        </w:rPr>
        <w:t>电子教案PPT数量不少于80个；</w:t>
      </w:r>
    </w:p>
    <w:p>
      <w:pPr>
        <w:pStyle w:val="7"/>
        <w:pageBreakBefore w:val="0"/>
        <w:kinsoku/>
        <w:wordWrap/>
        <w:topLinePunct w:val="0"/>
        <w:bidi w:val="0"/>
        <w:adjustRightInd w:val="0"/>
        <w:snapToGrid w:val="0"/>
        <w:spacing w:after="0" w:line="480" w:lineRule="exact"/>
        <w:rPr>
          <w:rFonts w:hint="eastAsia" w:ascii="宋体" w:hAnsi="宋体" w:eastAsia="宋体" w:cs="宋体"/>
          <w:sz w:val="32"/>
          <w:szCs w:val="32"/>
        </w:rPr>
      </w:pPr>
      <w:r>
        <w:rPr>
          <w:rFonts w:hint="eastAsia" w:ascii="宋体" w:hAnsi="宋体" w:eastAsia="宋体" w:cs="宋体"/>
          <w:sz w:val="32"/>
          <w:szCs w:val="32"/>
        </w:rPr>
        <w:t>视频微课数量不少于80个，每个微课时长5-15分钟；</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富媒体、PDF、EXCEL等文件资源数量若干；</w:t>
      </w:r>
    </w:p>
    <w:p>
      <w:pPr>
        <w:pStyle w:val="7"/>
        <w:pageBreakBefore w:val="0"/>
        <w:kinsoku/>
        <w:wordWrap/>
        <w:topLinePunct w:val="0"/>
        <w:bidi w:val="0"/>
        <w:adjustRightInd w:val="0"/>
        <w:snapToGrid w:val="0"/>
        <w:spacing w:after="0" w:line="480" w:lineRule="exact"/>
        <w:rPr>
          <w:rFonts w:hint="eastAsia" w:ascii="宋体" w:hAnsi="宋体" w:eastAsia="宋体" w:cs="宋体"/>
          <w:sz w:val="32"/>
          <w:szCs w:val="32"/>
        </w:rPr>
      </w:pPr>
      <w:r>
        <w:rPr>
          <w:rFonts w:hint="eastAsia" w:ascii="宋体" w:hAnsi="宋体" w:eastAsia="宋体" w:cs="宋体"/>
          <w:sz w:val="32"/>
          <w:szCs w:val="32"/>
        </w:rPr>
        <w:t>随堂练习客观题数量不少于150道；</w:t>
      </w:r>
    </w:p>
    <w:p>
      <w:pPr>
        <w:pStyle w:val="7"/>
        <w:pageBreakBefore w:val="0"/>
        <w:kinsoku/>
        <w:wordWrap/>
        <w:topLinePunct w:val="0"/>
        <w:bidi w:val="0"/>
        <w:adjustRightInd w:val="0"/>
        <w:snapToGrid w:val="0"/>
        <w:spacing w:after="0" w:line="480" w:lineRule="exact"/>
        <w:rPr>
          <w:rFonts w:hint="eastAsia" w:ascii="宋体" w:hAnsi="宋体" w:eastAsia="宋体" w:cs="宋体"/>
          <w:b/>
          <w:bCs/>
          <w:sz w:val="32"/>
          <w:szCs w:val="32"/>
        </w:rPr>
      </w:pPr>
      <w:r>
        <w:rPr>
          <w:rFonts w:hint="eastAsia" w:ascii="宋体" w:hAnsi="宋体" w:eastAsia="宋体" w:cs="宋体"/>
          <w:sz w:val="32"/>
          <w:szCs w:val="32"/>
        </w:rPr>
        <w:t>提供课程简介、课程大纲、课时安排等教学文件及参考资料。</w:t>
      </w:r>
    </w:p>
    <w:p>
      <w:pPr>
        <w:pStyle w:val="3"/>
        <w:pageBreakBefore w:val="0"/>
        <w:kinsoku/>
        <w:wordWrap/>
        <w:topLinePunct w:val="0"/>
        <w:bidi w:val="0"/>
        <w:spacing w:line="48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五、训练包</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提供一套完整的基于真实业务场景的在线训练包，供学生实务训练使用，学生采用个人测评训练方式，通过单项实训，以企业真实数据分析需求为基础，旨在帮助学生建立数据技术在商务分析中运用的思维体系，掌握商务数据分析的一般流程和主流方法，培养学生使用大数据分析工具进行数据采集、数据预处理、数据分析及进行可视化呈现，并最终帮助企业发现问题、解决问题的动手操作能力。</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（一）训练内容</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训练1：构建商务数据模型</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训练2：商务数据预处理</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训练3：商品销售分析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训练4：商品销售预测</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训练5：市场规模与趋势分析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训练6：市场集中度分析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训练7：竞争对手分析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训练8：竞品分析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训练9：关键词推广效果分析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训练10：转化漏斗分析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训练11：投资回报分析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训练12：客户人群画像</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训练13：客户价值分析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训练14：采购订单分析</w:t>
      </w:r>
    </w:p>
    <w:p>
      <w:pPr>
        <w:pStyle w:val="7"/>
        <w:pageBreakBefore w:val="0"/>
        <w:kinsoku/>
        <w:wordWrap/>
        <w:topLinePunct w:val="0"/>
        <w:bidi w:val="0"/>
        <w:adjustRightInd w:val="0"/>
        <w:snapToGrid w:val="0"/>
        <w:spacing w:line="480" w:lineRule="exact"/>
        <w:ind w:firstLine="320" w:firstLineChars="100"/>
        <w:rPr>
          <w:rFonts w:hint="eastAsia" w:ascii="宋体" w:hAnsi="宋体" w:eastAsia="宋体" w:cs="宋体"/>
          <w:sz w:val="32"/>
          <w:szCs w:val="32"/>
        </w:rPr>
      </w:pPr>
      <w:r>
        <w:rPr>
          <w:rFonts w:hint="eastAsia" w:ascii="宋体" w:hAnsi="宋体" w:eastAsia="宋体" w:cs="宋体"/>
          <w:sz w:val="32"/>
          <w:szCs w:val="32"/>
        </w:rPr>
        <w:t>训练15：库存管理</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（二）训练包容量</w:t>
      </w:r>
    </w:p>
    <w:p>
      <w:pPr>
        <w:pStyle w:val="17"/>
        <w:pageBreakBefore w:val="0"/>
        <w:kinsoku/>
        <w:wordWrap/>
        <w:topLinePunct w:val="0"/>
        <w:bidi w:val="0"/>
        <w:spacing w:line="480" w:lineRule="exact"/>
        <w:ind w:left="0" w:leftChars="0" w:firstLine="0" w:firstLineChars="0"/>
        <w:rPr>
          <w:rFonts w:hint="eastAsia" w:ascii="宋体" w:hAnsi="宋体" w:eastAsia="宋体" w:cs="宋体"/>
          <w:sz w:val="32"/>
          <w:szCs w:val="32"/>
        </w:rPr>
      </w:pPr>
      <w:r>
        <w:rPr>
          <w:rFonts w:hint="eastAsia" w:ascii="宋体" w:hAnsi="宋体" w:eastAsia="宋体" w:cs="宋体"/>
          <w:sz w:val="32"/>
          <w:szCs w:val="32"/>
        </w:rPr>
        <w:t>训练包不少于15项训练试题。</w:t>
      </w:r>
    </w:p>
    <w:p>
      <w:pPr>
        <w:pStyle w:val="3"/>
        <w:pageBreakBefore w:val="0"/>
        <w:kinsoku/>
        <w:wordWrap/>
        <w:topLinePunct w:val="0"/>
        <w:bidi w:val="0"/>
        <w:spacing w:line="480" w:lineRule="exact"/>
        <w:ind w:firstLine="640" w:firstLineChars="200"/>
        <w:rPr>
          <w:rFonts w:hint="eastAsia" w:ascii="宋体" w:hAnsi="宋体" w:eastAsia="宋体" w:cs="宋体"/>
          <w:sz w:val="32"/>
          <w:szCs w:val="32"/>
        </w:rPr>
      </w:pPr>
      <w:r>
        <w:rPr>
          <w:rFonts w:hint="eastAsia" w:ascii="宋体" w:hAnsi="宋体" w:eastAsia="宋体" w:cs="宋体"/>
          <w:b w:val="0"/>
          <w:bCs w:val="0"/>
          <w:sz w:val="32"/>
          <w:szCs w:val="32"/>
        </w:rPr>
        <w:t>六、试题包</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bookmarkStart w:id="5" w:name="_Hlk143614753"/>
      <w:r>
        <w:rPr>
          <w:rFonts w:hint="eastAsia" w:ascii="宋体" w:hAnsi="宋体" w:eastAsia="宋体" w:cs="宋体"/>
          <w:sz w:val="32"/>
          <w:szCs w:val="32"/>
        </w:rPr>
        <w:t>试题包题目紧密结合教学内容，试题包与大数据分析工具深度集成，能够做到平台自动跳转，学生答题进度跟踪，答题结果自动评分。通过训练测评，提高学生应用大数据分析工具进行商务大数据分析的能力，灵活运用新工具、新方法，适应新技术、新业态背景下的岗位工作内容。</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★提供3套试题包，供在线考试测评使用。</w:t>
      </w:r>
    </w:p>
    <w:bookmarkEnd w:id="5"/>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（一）试题包内容</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试题包与大数据分析业务平台深度集成，满足理论题与实训题无缝衔接。试题题目紧密结合教学内容，涵盖商务数据思维与职业素养、商务数据分析基本流程、商务数据分析方法与工具等基础知识，以及供应链数据分析等技能应用。</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通过技能测评，提高学生商务大数据分析的综合能力，灵活运用新工具、新方法，适应新技术、新业态背景下的岗位工作内容。</w:t>
      </w:r>
    </w:p>
    <w:p>
      <w:pPr>
        <w:pStyle w:val="2"/>
        <w:pageBreakBefore w:val="0"/>
        <w:kinsoku/>
        <w:wordWrap/>
        <w:topLinePunct w:val="0"/>
        <w:bidi w:val="0"/>
        <w:spacing w:line="480" w:lineRule="exact"/>
        <w:rPr>
          <w:rFonts w:hint="eastAsia" w:ascii="宋体" w:hAnsi="宋体" w:eastAsia="宋体" w:cs="宋体"/>
          <w:sz w:val="32"/>
          <w:szCs w:val="32"/>
        </w:rPr>
      </w:pPr>
      <w:r>
        <w:rPr>
          <w:rFonts w:hint="eastAsia" w:ascii="宋体" w:hAnsi="宋体" w:eastAsia="宋体" w:cs="宋体"/>
          <w:sz w:val="32"/>
          <w:szCs w:val="32"/>
        </w:rPr>
        <w:t>（二）试题包容量（3套）</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1.客观题类型与数量</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客观题包含单选、多选、判断三种题型，单选题10道、多选题5道、判断题10道。</w:t>
      </w:r>
    </w:p>
    <w:p>
      <w:pPr>
        <w:pageBreakBefore w:val="0"/>
        <w:kinsoku/>
        <w:wordWrap/>
        <w:topLinePunct w:val="0"/>
        <w:bidi w:val="0"/>
        <w:adjustRightInd w:val="0"/>
        <w:snapToGrid w:val="0"/>
        <w:spacing w:line="480" w:lineRule="exact"/>
        <w:rPr>
          <w:rFonts w:hint="eastAsia" w:ascii="宋体" w:hAnsi="宋体" w:eastAsia="宋体" w:cs="宋体"/>
          <w:sz w:val="32"/>
          <w:szCs w:val="32"/>
        </w:rPr>
      </w:pPr>
      <w:r>
        <w:rPr>
          <w:rFonts w:hint="eastAsia" w:ascii="宋体" w:hAnsi="宋体" w:eastAsia="宋体" w:cs="宋体"/>
          <w:sz w:val="32"/>
          <w:szCs w:val="32"/>
        </w:rPr>
        <w:t>2.实操题类型与数量</w:t>
      </w:r>
    </w:p>
    <w:p>
      <w:pPr>
        <w:pageBreakBefore w:val="0"/>
        <w:kinsoku/>
        <w:wordWrap/>
        <w:topLinePunct w:val="0"/>
        <w:bidi w:val="0"/>
        <w:adjustRightInd w:val="0"/>
        <w:snapToGrid w:val="0"/>
        <w:spacing w:line="480" w:lineRule="exact"/>
        <w:ind w:firstLine="640" w:firstLineChars="200"/>
        <w:rPr>
          <w:rFonts w:hint="eastAsia" w:ascii="宋体" w:hAnsi="宋体" w:eastAsia="宋体" w:cs="宋体"/>
          <w:sz w:val="32"/>
          <w:szCs w:val="32"/>
          <w:lang w:val="zh-CN"/>
        </w:rPr>
      </w:pPr>
      <w:r>
        <w:rPr>
          <w:rFonts w:hint="eastAsia" w:ascii="宋体" w:hAnsi="宋体" w:eastAsia="宋体" w:cs="宋体"/>
          <w:sz w:val="32"/>
          <w:szCs w:val="32"/>
        </w:rPr>
        <w:t>综合实操题3道。</w:t>
      </w:r>
    </w:p>
    <w:p>
      <w:pPr>
        <w:pageBreakBefore w:val="0"/>
        <w:tabs>
          <w:tab w:val="left" w:pos="5325"/>
        </w:tabs>
        <w:kinsoku/>
        <w:wordWrap/>
        <w:topLinePunct w:val="0"/>
        <w:bidi w:val="0"/>
        <w:snapToGrid w:val="0"/>
        <w:spacing w:line="480" w:lineRule="exact"/>
        <w:ind w:left="692" w:leftChars="266"/>
        <w:contextualSpacing/>
        <w:rPr>
          <w:rFonts w:hint="eastAsia" w:ascii="宋体" w:hAnsi="宋体" w:eastAsia="宋体" w:cs="宋体"/>
          <w:b/>
          <w:sz w:val="32"/>
          <w:szCs w:val="32"/>
        </w:rPr>
      </w:pPr>
      <w:r>
        <w:rPr>
          <w:rFonts w:hint="eastAsia" w:ascii="宋体" w:hAnsi="宋体" w:eastAsia="宋体" w:cs="宋体"/>
          <w:b/>
          <w:sz w:val="32"/>
          <w:szCs w:val="32"/>
        </w:rPr>
        <w:t>五、其他</w:t>
      </w:r>
    </w:p>
    <w:p>
      <w:pPr>
        <w:pageBreakBefore w:val="0"/>
        <w:widowControl/>
        <w:shd w:val="clear" w:color="auto" w:fill="FFFFFF"/>
        <w:kinsoku/>
        <w:wordWrap/>
        <w:topLinePunct w:val="0"/>
        <w:bidi w:val="0"/>
        <w:snapToGrid w:val="0"/>
        <w:spacing w:line="480" w:lineRule="exact"/>
        <w:ind w:firstLine="641" w:firstLineChars="200"/>
        <w:contextualSpacing/>
        <w:rPr>
          <w:rFonts w:hint="eastAsia" w:ascii="宋体" w:hAnsi="宋体" w:eastAsia="宋体" w:cs="宋体"/>
          <w:sz w:val="32"/>
          <w:szCs w:val="32"/>
        </w:rPr>
      </w:pPr>
      <w:r>
        <w:rPr>
          <w:rFonts w:hint="eastAsia" w:ascii="宋体" w:hAnsi="宋体" w:eastAsia="宋体" w:cs="宋体"/>
          <w:b/>
          <w:sz w:val="32"/>
          <w:szCs w:val="32"/>
        </w:rPr>
        <w:t>1、签定合同日期：</w:t>
      </w:r>
      <w:r>
        <w:rPr>
          <w:rFonts w:hint="eastAsia" w:ascii="宋体" w:hAnsi="宋体" w:eastAsia="宋体" w:cs="宋体"/>
          <w:sz w:val="32"/>
          <w:szCs w:val="32"/>
        </w:rPr>
        <w:t>自成交通知书发出之日起 7个工作日内按时签约。</w:t>
      </w:r>
    </w:p>
    <w:p>
      <w:pPr>
        <w:pageBreakBefore w:val="0"/>
        <w:widowControl/>
        <w:shd w:val="clear" w:color="auto" w:fill="FFFFFF"/>
        <w:kinsoku/>
        <w:wordWrap/>
        <w:topLinePunct w:val="0"/>
        <w:bidi w:val="0"/>
        <w:snapToGrid w:val="0"/>
        <w:spacing w:line="480" w:lineRule="exact"/>
        <w:ind w:firstLine="641" w:firstLineChars="200"/>
        <w:contextualSpacing/>
        <w:rPr>
          <w:rFonts w:hint="eastAsia" w:ascii="宋体" w:hAnsi="宋体" w:eastAsia="宋体" w:cs="宋体"/>
          <w:sz w:val="32"/>
          <w:szCs w:val="32"/>
        </w:rPr>
      </w:pPr>
      <w:r>
        <w:rPr>
          <w:rFonts w:hint="eastAsia" w:ascii="宋体" w:hAnsi="宋体" w:eastAsia="宋体" w:cs="宋体"/>
          <w:b/>
          <w:sz w:val="32"/>
          <w:szCs w:val="32"/>
        </w:rPr>
        <w:t>2、交货期（服务时间）：</w:t>
      </w:r>
      <w:r>
        <w:rPr>
          <w:rFonts w:hint="eastAsia" w:ascii="宋体" w:hAnsi="宋体" w:eastAsia="宋体" w:cs="宋体"/>
          <w:sz w:val="32"/>
          <w:szCs w:val="32"/>
        </w:rPr>
        <w:t xml:space="preserve"> 自合同签定之日起 10天内。</w:t>
      </w:r>
    </w:p>
    <w:p>
      <w:pPr>
        <w:pageBreakBefore w:val="0"/>
        <w:widowControl/>
        <w:shd w:val="clear" w:color="auto" w:fill="FFFFFF"/>
        <w:kinsoku/>
        <w:wordWrap/>
        <w:topLinePunct w:val="0"/>
        <w:bidi w:val="0"/>
        <w:snapToGrid w:val="0"/>
        <w:spacing w:line="480" w:lineRule="exact"/>
        <w:ind w:firstLine="641" w:firstLineChars="200"/>
        <w:contextualSpacing/>
        <w:rPr>
          <w:rFonts w:hint="eastAsia" w:ascii="宋体" w:hAnsi="宋体" w:eastAsia="宋体" w:cs="宋体"/>
          <w:sz w:val="32"/>
          <w:szCs w:val="32"/>
        </w:rPr>
      </w:pPr>
      <w:r>
        <w:rPr>
          <w:rFonts w:hint="eastAsia" w:ascii="宋体" w:hAnsi="宋体" w:eastAsia="宋体" w:cs="宋体"/>
          <w:b/>
          <w:sz w:val="32"/>
          <w:szCs w:val="32"/>
        </w:rPr>
        <w:t>3、交货（服务）地点：</w:t>
      </w:r>
      <w:r>
        <w:rPr>
          <w:rFonts w:hint="eastAsia" w:ascii="宋体" w:hAnsi="宋体" w:eastAsia="宋体" w:cs="宋体"/>
          <w:sz w:val="32"/>
          <w:szCs w:val="32"/>
        </w:rPr>
        <w:t>南通科技职业学院。供应商负责将货物运到采购人指定地点。由供应商负责办理运输、装卸和安装调试等，费用由供应商负责，由采购人组织验收，检验不合格或不符合质量要求，供应商除无条件退货、返工外，还应承担采购人的一切损失。</w:t>
      </w:r>
    </w:p>
    <w:p>
      <w:pPr>
        <w:pageBreakBefore w:val="0"/>
        <w:widowControl/>
        <w:shd w:val="clear" w:color="auto" w:fill="FFFFFF"/>
        <w:kinsoku/>
        <w:wordWrap/>
        <w:topLinePunct w:val="0"/>
        <w:bidi w:val="0"/>
        <w:snapToGrid w:val="0"/>
        <w:spacing w:line="480" w:lineRule="exact"/>
        <w:ind w:firstLine="641" w:firstLineChars="200"/>
        <w:contextualSpacing/>
        <w:rPr>
          <w:rFonts w:hint="eastAsia" w:ascii="宋体" w:hAnsi="宋体" w:eastAsia="宋体" w:cs="宋体"/>
          <w:b/>
          <w:sz w:val="32"/>
          <w:szCs w:val="32"/>
        </w:rPr>
      </w:pPr>
      <w:r>
        <w:rPr>
          <w:rFonts w:hint="eastAsia" w:ascii="宋体" w:hAnsi="宋体" w:eastAsia="宋体" w:cs="宋体"/>
          <w:b/>
          <w:sz w:val="32"/>
          <w:szCs w:val="32"/>
        </w:rPr>
        <w:t>4、</w:t>
      </w:r>
      <w:r>
        <w:rPr>
          <w:rFonts w:hint="eastAsia" w:ascii="宋体" w:hAnsi="宋体" w:eastAsia="宋体" w:cs="宋体"/>
          <w:b/>
          <w:sz w:val="32"/>
          <w:szCs w:val="32"/>
          <w:lang w:val="zh-CN"/>
        </w:rPr>
        <w:t>质保期限</w:t>
      </w:r>
      <w:r>
        <w:rPr>
          <w:rFonts w:hint="eastAsia" w:ascii="宋体" w:hAnsi="宋体" w:eastAsia="宋体" w:cs="宋体"/>
          <w:sz w:val="32"/>
          <w:szCs w:val="32"/>
        </w:rPr>
        <w:t>（自交货并验收合格之日起计）</w:t>
      </w:r>
      <w:r>
        <w:rPr>
          <w:rFonts w:hint="eastAsia" w:ascii="宋体" w:hAnsi="宋体" w:eastAsia="宋体" w:cs="宋体"/>
          <w:b/>
          <w:sz w:val="32"/>
          <w:szCs w:val="32"/>
          <w:lang w:val="zh-CN"/>
        </w:rPr>
        <w:t>、</w:t>
      </w:r>
      <w:r>
        <w:rPr>
          <w:rFonts w:hint="eastAsia" w:ascii="宋体" w:hAnsi="宋体" w:eastAsia="宋体" w:cs="宋体"/>
          <w:sz w:val="32"/>
          <w:szCs w:val="32"/>
        </w:rPr>
        <w:t>自交货并验收合格之日起计</w:t>
      </w:r>
      <w:r>
        <w:rPr>
          <w:rFonts w:hint="eastAsia" w:ascii="宋体" w:hAnsi="宋体" w:eastAsia="宋体" w:cs="宋体"/>
          <w:sz w:val="32"/>
          <w:szCs w:val="32"/>
          <w:lang w:val="en-US" w:eastAsia="zh-CN"/>
        </w:rPr>
        <w:t>壹</w:t>
      </w:r>
      <w:r>
        <w:rPr>
          <w:rFonts w:hint="eastAsia" w:ascii="宋体" w:hAnsi="宋体" w:eastAsia="宋体" w:cs="宋体"/>
          <w:sz w:val="32"/>
          <w:szCs w:val="32"/>
        </w:rPr>
        <w:t>年。</w:t>
      </w:r>
    </w:p>
    <w:p>
      <w:pPr>
        <w:pageBreakBefore w:val="0"/>
        <w:tabs>
          <w:tab w:val="left" w:pos="5325"/>
        </w:tabs>
        <w:kinsoku/>
        <w:wordWrap/>
        <w:topLinePunct w:val="0"/>
        <w:bidi w:val="0"/>
        <w:snapToGrid w:val="0"/>
        <w:spacing w:line="480" w:lineRule="exact"/>
        <w:ind w:firstLine="641" w:firstLineChars="200"/>
        <w:rPr>
          <w:rFonts w:hint="eastAsia" w:ascii="宋体" w:hAnsi="宋体" w:eastAsia="宋体" w:cs="宋体"/>
          <w:b/>
          <w:sz w:val="32"/>
          <w:szCs w:val="32"/>
        </w:rPr>
      </w:pPr>
      <w:r>
        <w:rPr>
          <w:rFonts w:hint="eastAsia" w:ascii="宋体" w:hAnsi="宋体" w:eastAsia="宋体" w:cs="宋体"/>
          <w:b/>
          <w:sz w:val="32"/>
          <w:szCs w:val="32"/>
        </w:rPr>
        <w:t>5、验收的具体方案：</w:t>
      </w:r>
    </w:p>
    <w:p>
      <w:pPr>
        <w:pageBreakBefore w:val="0"/>
        <w:tabs>
          <w:tab w:val="left" w:pos="5325"/>
        </w:tabs>
        <w:kinsoku/>
        <w:wordWrap/>
        <w:topLinePunct w:val="0"/>
        <w:bidi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在接到供应商以书面形式提出验收申请后，在5个工作日内及时组织相关专业技术人员，必要时邀请资产管理与招投标办公室、纪检等部门共同参与验收，并出具验收报告，作为支付货款的依据。</w:t>
      </w:r>
    </w:p>
    <w:p>
      <w:pPr>
        <w:pageBreakBefore w:val="0"/>
        <w:tabs>
          <w:tab w:val="left" w:pos="5325"/>
        </w:tabs>
        <w:kinsoku/>
        <w:wordWrap/>
        <w:topLinePunct w:val="0"/>
        <w:bidi w:val="0"/>
        <w:snapToGrid w:val="0"/>
        <w:spacing w:line="480" w:lineRule="exact"/>
        <w:ind w:firstLine="641" w:firstLineChars="200"/>
        <w:contextualSpacing/>
        <w:rPr>
          <w:rFonts w:hint="eastAsia" w:ascii="宋体" w:hAnsi="宋体" w:eastAsia="宋体" w:cs="宋体"/>
          <w:b/>
          <w:sz w:val="32"/>
          <w:szCs w:val="32"/>
        </w:rPr>
      </w:pPr>
      <w:r>
        <w:rPr>
          <w:rFonts w:hint="eastAsia" w:ascii="宋体" w:hAnsi="宋体" w:eastAsia="宋体" w:cs="宋体"/>
          <w:b/>
          <w:sz w:val="32"/>
          <w:szCs w:val="32"/>
        </w:rPr>
        <w:t>6、售后服务及其他（含安装、调试、培训、维护等）</w:t>
      </w:r>
    </w:p>
    <w:p>
      <w:pPr>
        <w:pageBreakBefore w:val="0"/>
        <w:widowControl/>
        <w:kinsoku/>
        <w:wordWrap/>
        <w:topLinePunct w:val="0"/>
        <w:bidi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（1）本项目质保期</w:t>
      </w:r>
      <w:r>
        <w:rPr>
          <w:rFonts w:hint="eastAsia" w:ascii="宋体" w:hAnsi="宋体" w:eastAsia="宋体" w:cs="宋体"/>
          <w:sz w:val="32"/>
          <w:szCs w:val="32"/>
          <w:lang w:val="en-US" w:eastAsia="zh-CN"/>
        </w:rPr>
        <w:t>壹</w:t>
      </w:r>
      <w:r>
        <w:rPr>
          <w:rFonts w:hint="eastAsia" w:ascii="宋体" w:hAnsi="宋体" w:eastAsia="宋体" w:cs="宋体"/>
          <w:sz w:val="32"/>
          <w:szCs w:val="32"/>
        </w:rPr>
        <w:t>年，质保期从验收合格交付使用之日起算，在质保期内免费升级。</w:t>
      </w:r>
    </w:p>
    <w:p>
      <w:pPr>
        <w:pageBreakBefore w:val="0"/>
        <w:widowControl/>
        <w:kinsoku/>
        <w:wordWrap/>
        <w:topLinePunct w:val="0"/>
        <w:bidi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（2）软件安装调试合格后，免费为学校专业老师进行必要的技术培训服务。</w:t>
      </w:r>
    </w:p>
    <w:p>
      <w:pPr>
        <w:pageBreakBefore w:val="0"/>
        <w:tabs>
          <w:tab w:val="left" w:pos="5325"/>
        </w:tabs>
        <w:kinsoku/>
        <w:wordWrap/>
        <w:topLinePunct w:val="0"/>
        <w:bidi w:val="0"/>
        <w:snapToGrid w:val="0"/>
        <w:spacing w:line="480" w:lineRule="exact"/>
        <w:ind w:firstLine="640" w:firstLineChars="200"/>
        <w:contextualSpacing/>
        <w:rPr>
          <w:rFonts w:hint="eastAsia" w:ascii="宋体" w:hAnsi="宋体" w:eastAsia="宋体" w:cs="宋体"/>
          <w:b/>
          <w:sz w:val="32"/>
          <w:szCs w:val="32"/>
        </w:rPr>
      </w:pPr>
      <w:r>
        <w:rPr>
          <w:rFonts w:hint="eastAsia" w:ascii="宋体" w:hAnsi="宋体" w:eastAsia="宋体" w:cs="宋体"/>
          <w:sz w:val="32"/>
          <w:szCs w:val="32"/>
        </w:rPr>
        <w:t>（3）提供“7*24小时”专门电话技术支持服务，在工作时间2小时内响应，在4小时内对使用单位所提出的维护维修要求做出实质性反应，并提供应急策略。如因供应商软件故障而导致软件产品不能正常运行，且通过远程技术支持不能解决的，供应商应承诺24小时内上门解决或提供远程替代服务。</w:t>
      </w:r>
    </w:p>
    <w:p>
      <w:pPr>
        <w:spacing w:line="480" w:lineRule="exact"/>
        <w:rPr>
          <w:rFonts w:hint="eastAsia" w:ascii="宋体" w:hAnsi="宋体" w:eastAsia="宋体" w:cs="宋体"/>
          <w:sz w:val="32"/>
          <w:szCs w:val="32"/>
        </w:rPr>
      </w:pPr>
    </w:p>
    <w:p>
      <w:pPr>
        <w:pStyle w:val="4"/>
        <w:spacing w:line="480" w:lineRule="exact"/>
        <w:ind w:left="520"/>
        <w:rPr>
          <w:rFonts w:hint="eastAsia" w:ascii="宋体" w:hAnsi="宋体" w:eastAsia="宋体" w:cs="宋体"/>
          <w:sz w:val="32"/>
          <w:szCs w:val="32"/>
        </w:rPr>
      </w:pPr>
    </w:p>
    <w:p>
      <w:pPr>
        <w:spacing w:line="480" w:lineRule="exact"/>
        <w:ind w:firstLine="641" w:firstLineChars="200"/>
        <w:rPr>
          <w:rFonts w:hint="eastAsia" w:ascii="宋体" w:hAnsi="宋体" w:eastAsia="宋体" w:cs="宋体"/>
          <w:b/>
          <w:sz w:val="32"/>
          <w:szCs w:val="32"/>
          <w:lang w:eastAsia="zh-Hans"/>
        </w:rPr>
      </w:pPr>
    </w:p>
    <w:p>
      <w:pPr>
        <w:spacing w:line="480" w:lineRule="exact"/>
        <w:ind w:firstLine="641" w:firstLineChars="200"/>
        <w:rPr>
          <w:rFonts w:hint="eastAsia" w:ascii="宋体" w:hAnsi="宋体" w:eastAsia="宋体" w:cs="宋体"/>
          <w:b/>
          <w:sz w:val="32"/>
          <w:szCs w:val="32"/>
          <w:lang w:eastAsia="zh-Hans"/>
        </w:rPr>
      </w:pPr>
    </w:p>
    <w:p>
      <w:pPr>
        <w:spacing w:line="480" w:lineRule="exact"/>
        <w:ind w:firstLine="641" w:firstLineChars="200"/>
        <w:rPr>
          <w:rFonts w:hint="eastAsia" w:ascii="宋体" w:hAnsi="宋体" w:eastAsia="宋体" w:cs="宋体"/>
          <w:b/>
          <w:sz w:val="32"/>
          <w:szCs w:val="32"/>
          <w:lang w:eastAsia="zh-Hans"/>
        </w:rPr>
      </w:pPr>
    </w:p>
    <w:p>
      <w:pPr>
        <w:jc w:val="left"/>
        <w:rPr>
          <w:rFonts w:hint="eastAsia" w:ascii="宋体" w:hAnsi="宋体" w:eastAsia="宋体" w:cs="宋体"/>
          <w:b/>
          <w:w w:val="80"/>
          <w:sz w:val="32"/>
          <w:szCs w:val="32"/>
        </w:rPr>
      </w:pPr>
      <w:r>
        <w:rPr>
          <w:rFonts w:hint="eastAsia" w:ascii="宋体" w:hAnsi="宋体" w:eastAsia="宋体" w:cs="宋体"/>
          <w:b/>
          <w:w w:val="80"/>
          <w:sz w:val="32"/>
          <w:szCs w:val="32"/>
        </w:rPr>
        <w:br w:type="page"/>
      </w:r>
    </w:p>
    <w:p>
      <w:pPr>
        <w:tabs>
          <w:tab w:val="left" w:pos="1050"/>
          <w:tab w:val="right" w:leader="dot" w:pos="9402"/>
        </w:tabs>
        <w:spacing w:before="570" w:beforeLines="150" w:line="480" w:lineRule="exact"/>
        <w:ind w:firstLine="513" w:firstLineChars="200"/>
        <w:jc w:val="center"/>
        <w:outlineLvl w:val="0"/>
        <w:rPr>
          <w:rFonts w:hint="eastAsia" w:ascii="宋体" w:hAnsi="宋体" w:eastAsia="宋体" w:cs="宋体"/>
          <w:b/>
          <w:w w:val="80"/>
          <w:sz w:val="32"/>
          <w:szCs w:val="32"/>
        </w:rPr>
      </w:pPr>
      <w:r>
        <w:rPr>
          <w:rFonts w:hint="eastAsia" w:ascii="宋体" w:hAnsi="宋体" w:eastAsia="宋体" w:cs="宋体"/>
          <w:b/>
          <w:w w:val="80"/>
          <w:sz w:val="32"/>
          <w:szCs w:val="32"/>
        </w:rPr>
        <w:t>第四章评审方法和程序</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一、采购人委托招标代理机构组织招标</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1、成立评标委员会或评标小组，由采购人代表和有关专家依法组成。</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2、供应商的法定代表人或委托代理人须持身份证原件准时参加开标会。</w:t>
      </w:r>
    </w:p>
    <w:p>
      <w:pPr>
        <w:adjustRightInd w:val="0"/>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二、评标小组</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1、评标小组负责具体的评标事务，并独立履行以下职责：</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（1）审查响应文件是否符合比选文件的要求，并做出评价；</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（2）可以要求供应商对响应文件有关事项做出解释或澄清；</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（3）按比选文件载明的方式评审确定成交人。</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2、评标小组成员应当履行下列义务：</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（1）遵纪守法，客观、公正、廉洁地履行职责；</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（2）按照比选文件规定的评标办法和评标标准进行评标，对评审意见承担个人责任；</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（3）对评标过程和结果，以及供应商的商业秘密保密；</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（4）配合相关部门的投诉处理工作；</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（5）配合采购人答复供应商提出的质疑。</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项目开标后直到项目成交结果公告，发出成交通知书并授予成交人合同为止，凡属于评审、澄清、评价和比较响应的所有资料及有关授予合同等的相关信息，评标小组成员都不应向供应商或与评标无关的其他人泄露。</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4、在响应文件的评审、澄清、评价和比较以及授予合同的过程中，供应商对采购人和评标委员会成员有施加影响的任何行为，都将取消其成交资格。</w:t>
      </w:r>
    </w:p>
    <w:p>
      <w:pPr>
        <w:adjustRightInd w:val="0"/>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三、评审原则：</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1、本项目采用</w:t>
      </w:r>
      <w:r>
        <w:rPr>
          <w:rFonts w:hint="eastAsia" w:ascii="宋体" w:hAnsi="宋体" w:eastAsia="宋体" w:cs="宋体"/>
          <w:b/>
          <w:sz w:val="32"/>
          <w:szCs w:val="32"/>
          <w:u w:val="single"/>
        </w:rPr>
        <w:t>综合评分法</w:t>
      </w:r>
      <w:r>
        <w:rPr>
          <w:rFonts w:hint="eastAsia" w:ascii="宋体" w:hAnsi="宋体" w:eastAsia="宋体" w:cs="宋体"/>
          <w:sz w:val="32"/>
          <w:szCs w:val="32"/>
        </w:rPr>
        <w:t>，即指在最大限度地满足比选文件实质性要求的前提下，按照本比选文件中规定的评标办法和评分标准及其他各项因素进行综合评审后，以评标总得分最高的供应商作为成交候选人的评标方法。</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2、由评标小组对资格审查合格的供应商所提交的响应文件技术标进行评审。</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3、评标小组严格按比选文件的规定要求、条件、评分标准，</w:t>
      </w:r>
      <w:r>
        <w:rPr>
          <w:rFonts w:hint="eastAsia" w:ascii="宋体" w:hAnsi="宋体" w:eastAsia="宋体" w:cs="宋体"/>
          <w:b/>
          <w:sz w:val="32"/>
          <w:szCs w:val="32"/>
        </w:rPr>
        <w:t>对供应商所提供的完整计划标的物的科学性、可行性、产品质量、服务质量的保证及承诺等实质性响应内容进行比较评价评审</w:t>
      </w:r>
      <w:r>
        <w:rPr>
          <w:rFonts w:hint="eastAsia" w:ascii="宋体" w:hAnsi="宋体" w:eastAsia="宋体" w:cs="宋体"/>
          <w:sz w:val="32"/>
          <w:szCs w:val="32"/>
        </w:rPr>
        <w:t>。</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4、评标小组对响应文件的判定，只依据响应内容本身，不依靠开标后的任何外来证明。</w:t>
      </w:r>
    </w:p>
    <w:p>
      <w:pPr>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四、评审方法</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1、评标小组将仅按本比选文件载明的方法与规定，为实质上响应比选文件要求的响应文件评审并进行评价和比较。</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2、本次项目的技术标和商务标评审总分值为100分。两部分评审因素比重如下：</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（1）技术标分值占总分值的比重为</w:t>
      </w:r>
      <w:r>
        <w:rPr>
          <w:rFonts w:hint="eastAsia" w:ascii="宋体" w:hAnsi="宋体" w:eastAsia="宋体" w:cs="宋体"/>
          <w:b/>
          <w:sz w:val="32"/>
          <w:szCs w:val="32"/>
          <w:u w:val="single"/>
          <w:lang w:val="en-US" w:eastAsia="zh-CN"/>
        </w:rPr>
        <w:t>70</w:t>
      </w:r>
      <w:r>
        <w:rPr>
          <w:rFonts w:hint="eastAsia" w:ascii="宋体" w:hAnsi="宋体" w:eastAsia="宋体" w:cs="宋体"/>
          <w:b/>
          <w:sz w:val="32"/>
          <w:szCs w:val="32"/>
          <w:u w:val="single"/>
        </w:rPr>
        <w:t>%</w:t>
      </w:r>
      <w:r>
        <w:rPr>
          <w:rFonts w:hint="eastAsia" w:ascii="宋体" w:hAnsi="宋体" w:eastAsia="宋体" w:cs="宋体"/>
          <w:sz w:val="32"/>
          <w:szCs w:val="32"/>
          <w:u w:val="single"/>
        </w:rPr>
        <w:t>（权重）</w:t>
      </w:r>
      <w:r>
        <w:rPr>
          <w:rFonts w:hint="eastAsia" w:ascii="宋体" w:hAnsi="宋体" w:eastAsia="宋体" w:cs="宋体"/>
          <w:sz w:val="32"/>
          <w:szCs w:val="32"/>
        </w:rPr>
        <w:t>（取小数点后二位）；</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（2）商务标分值占总分值的比重为</w:t>
      </w:r>
      <w:r>
        <w:rPr>
          <w:rFonts w:hint="eastAsia" w:ascii="宋体" w:hAnsi="宋体" w:eastAsia="宋体" w:cs="宋体"/>
          <w:b/>
          <w:sz w:val="32"/>
          <w:szCs w:val="32"/>
          <w:u w:val="single"/>
        </w:rPr>
        <w:t>3</w:t>
      </w:r>
      <w:r>
        <w:rPr>
          <w:rFonts w:hint="eastAsia" w:ascii="宋体" w:hAnsi="宋体" w:eastAsia="宋体" w:cs="宋体"/>
          <w:b/>
          <w:sz w:val="32"/>
          <w:szCs w:val="32"/>
          <w:u w:val="single"/>
          <w:lang w:val="en-US" w:eastAsia="zh-CN"/>
        </w:rPr>
        <w:t>0</w:t>
      </w:r>
      <w:r>
        <w:rPr>
          <w:rFonts w:hint="eastAsia" w:ascii="宋体" w:hAnsi="宋体" w:eastAsia="宋体" w:cs="宋体"/>
          <w:b/>
          <w:sz w:val="32"/>
          <w:szCs w:val="32"/>
          <w:u w:val="single"/>
        </w:rPr>
        <w:t>%</w:t>
      </w:r>
      <w:r>
        <w:rPr>
          <w:rFonts w:hint="eastAsia" w:ascii="宋体" w:hAnsi="宋体" w:eastAsia="宋体" w:cs="宋体"/>
          <w:sz w:val="32"/>
          <w:szCs w:val="32"/>
          <w:u w:val="single"/>
        </w:rPr>
        <w:t>（权重）</w:t>
      </w:r>
      <w:r>
        <w:rPr>
          <w:rFonts w:hint="eastAsia" w:ascii="宋体" w:hAnsi="宋体" w:eastAsia="宋体" w:cs="宋体"/>
          <w:sz w:val="32"/>
          <w:szCs w:val="32"/>
        </w:rPr>
        <w:t>（取小数点后二位）。</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3、评标小组严格按比选文件的要求、条件、评分标准，对供应商所提供货物或服务的先进性、可靠性、售后服务承诺、质量保证承诺等实质性响应内容进行比较。</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4、评标小组各成员独立对每个进入打分程序的有效供应商的标书技术部分以打分的形式进行评审和评价（计算结果均四舍五入保留两位小数）。</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5、当技术标评委为5人（含5人）以上的，技术分是在去掉一个最高分和一个最低分后均算而成，当评委少于5人时，技术分按算术平均值计算。分值小数点后保留两位。</w:t>
      </w:r>
    </w:p>
    <w:p>
      <w:pPr>
        <w:widowControl/>
        <w:spacing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6、开启供应商的商务报价标，评标委员会将审查每份响应文件的商务报价是否实质上响应了比选文件的要求。实质上响应的应该是与比选文件要求的全部条款、条件和规格相符，没有重大偏离或保留。所谓重大偏离或保留是指实质上影响合同的供货范围、质量和性能，或者实质上与比选文件的要求不一致。纠正这些偏离或保留将会对其他实质上响应要求的供应商的竞争地位产生不公正的影响。如未实质上相应 ，则按无效报价处理。</w:t>
      </w:r>
      <w:r>
        <w:rPr>
          <w:rFonts w:hint="eastAsia" w:ascii="宋体" w:hAnsi="宋体" w:eastAsia="宋体" w:cs="宋体"/>
          <w:sz w:val="32"/>
          <w:szCs w:val="32"/>
        </w:rPr>
        <w:br w:type="textWrapping"/>
      </w:r>
      <w:r>
        <w:rPr>
          <w:rFonts w:hint="eastAsia" w:ascii="宋体" w:hAnsi="宋体" w:eastAsia="宋体" w:cs="宋体"/>
          <w:sz w:val="32"/>
          <w:szCs w:val="32"/>
        </w:rPr>
        <w:t xml:space="preserve">    7、计算各供应商的商务标报价得分，与技术标得分相加为供应商的综合得分（保留小数点后2位），综合得分由高到低排序，得分最高者推荐为本项目的成交人并出具评审报告。</w:t>
      </w:r>
    </w:p>
    <w:p>
      <w:pPr>
        <w:snapToGrid w:val="0"/>
        <w:spacing w:line="480" w:lineRule="exact"/>
        <w:ind w:firstLine="647" w:firstLineChars="202"/>
        <w:rPr>
          <w:rFonts w:hint="eastAsia" w:ascii="宋体" w:hAnsi="宋体" w:eastAsia="宋体" w:cs="宋体"/>
          <w:b/>
          <w:sz w:val="32"/>
          <w:szCs w:val="32"/>
        </w:rPr>
      </w:pPr>
      <w:r>
        <w:rPr>
          <w:rFonts w:hint="eastAsia" w:ascii="宋体" w:hAnsi="宋体" w:eastAsia="宋体" w:cs="宋体"/>
          <w:b/>
          <w:sz w:val="32"/>
          <w:szCs w:val="32"/>
        </w:rPr>
        <w:t>五、评审细则</w:t>
      </w:r>
    </w:p>
    <w:p>
      <w:pPr>
        <w:pStyle w:val="13"/>
        <w:spacing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供应商</w:t>
      </w:r>
      <w:r>
        <w:rPr>
          <w:rFonts w:hint="eastAsia" w:ascii="宋体" w:hAnsi="宋体" w:eastAsia="宋体" w:cs="宋体"/>
          <w:sz w:val="32"/>
          <w:szCs w:val="32"/>
          <w:lang w:val="en-US" w:eastAsia="zh-CN"/>
        </w:rPr>
        <w:t>技术</w:t>
      </w:r>
      <w:r>
        <w:rPr>
          <w:rFonts w:hint="eastAsia" w:ascii="宋体" w:hAnsi="宋体" w:eastAsia="宋体" w:cs="宋体"/>
          <w:sz w:val="32"/>
          <w:szCs w:val="32"/>
        </w:rPr>
        <w:t>得分为评审小组成员评分的算术平均分,分值保留小数点后两位。</w:t>
      </w:r>
    </w:p>
    <w:tbl>
      <w:tblPr>
        <w:tblStyle w:val="18"/>
        <w:tblW w:w="9866"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415"/>
        <w:gridCol w:w="680"/>
        <w:gridCol w:w="7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trPr>
        <w:tc>
          <w:tcPr>
            <w:tcW w:w="1415" w:type="dxa"/>
            <w:noWrap w:val="0"/>
            <w:vAlign w:val="center"/>
          </w:tcPr>
          <w:p>
            <w:pPr>
              <w:pStyle w:val="16"/>
              <w:tabs>
                <w:tab w:val="left" w:pos="360"/>
                <w:tab w:val="left" w:pos="960"/>
              </w:tabs>
              <w:spacing w:before="0" w:beforeAutospacing="0" w:after="0" w:afterAutospacing="0" w:line="46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评审因素</w:t>
            </w:r>
          </w:p>
        </w:tc>
        <w:tc>
          <w:tcPr>
            <w:tcW w:w="680" w:type="dxa"/>
            <w:noWrap w:val="0"/>
            <w:vAlign w:val="center"/>
          </w:tcPr>
          <w:p>
            <w:pPr>
              <w:pStyle w:val="16"/>
              <w:tabs>
                <w:tab w:val="left" w:pos="360"/>
                <w:tab w:val="left" w:pos="960"/>
              </w:tabs>
              <w:spacing w:before="0" w:beforeAutospacing="0" w:after="0" w:afterAutospacing="0" w:line="46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分值</w:t>
            </w:r>
          </w:p>
        </w:tc>
        <w:tc>
          <w:tcPr>
            <w:tcW w:w="7771" w:type="dxa"/>
            <w:noWrap w:val="0"/>
            <w:vAlign w:val="center"/>
          </w:tcPr>
          <w:p>
            <w:pPr>
              <w:pStyle w:val="16"/>
              <w:tabs>
                <w:tab w:val="left" w:pos="360"/>
                <w:tab w:val="left" w:pos="960"/>
              </w:tabs>
              <w:spacing w:before="0" w:beforeAutospacing="0" w:after="0" w:afterAutospacing="0" w:line="460" w:lineRule="exact"/>
              <w:ind w:firstLine="708" w:firstLineChars="221"/>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9866" w:type="dxa"/>
            <w:gridSpan w:val="3"/>
            <w:noWrap w:val="0"/>
            <w:vAlign w:val="center"/>
          </w:tcPr>
          <w:p>
            <w:pPr>
              <w:pStyle w:val="16"/>
              <w:tabs>
                <w:tab w:val="left" w:pos="360"/>
                <w:tab w:val="left" w:pos="960"/>
              </w:tabs>
              <w:spacing w:before="0" w:beforeAutospacing="0" w:after="0" w:afterAutospacing="0" w:line="460" w:lineRule="exact"/>
              <w:rPr>
                <w:rFonts w:hint="eastAsia" w:ascii="宋体" w:hAnsi="宋体" w:eastAsia="宋体" w:cs="宋体"/>
                <w:color w:val="auto"/>
                <w:sz w:val="32"/>
                <w:szCs w:val="32"/>
              </w:rPr>
            </w:pPr>
            <w:r>
              <w:rPr>
                <w:rFonts w:hint="eastAsia" w:ascii="宋体" w:hAnsi="宋体" w:eastAsia="宋体" w:cs="宋体"/>
                <w:color w:val="auto"/>
                <w:sz w:val="32"/>
                <w:szCs w:val="32"/>
              </w:rPr>
              <w:t>一、技术分（</w:t>
            </w:r>
            <w:r>
              <w:rPr>
                <w:rFonts w:hint="eastAsia" w:ascii="宋体" w:hAnsi="宋体" w:eastAsia="宋体" w:cs="宋体"/>
                <w:color w:val="auto"/>
                <w:sz w:val="32"/>
                <w:szCs w:val="32"/>
                <w:lang w:val="en-US" w:eastAsia="zh-CN"/>
              </w:rPr>
              <w:t>51</w:t>
            </w:r>
            <w:r>
              <w:rPr>
                <w:rFonts w:hint="eastAsia" w:ascii="宋体" w:hAnsi="宋体" w:eastAsia="宋体" w:cs="宋体"/>
                <w:color w:val="auto"/>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415" w:type="dxa"/>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rPr>
            </w:pPr>
            <w:r>
              <w:rPr>
                <w:rFonts w:hint="eastAsia" w:ascii="宋体" w:hAnsi="宋体" w:eastAsia="宋体" w:cs="宋体"/>
                <w:color w:val="auto"/>
                <w:sz w:val="32"/>
                <w:szCs w:val="32"/>
              </w:rPr>
              <w:t>1、产品性能及技术指标</w:t>
            </w:r>
          </w:p>
        </w:tc>
        <w:tc>
          <w:tcPr>
            <w:tcW w:w="680" w:type="dxa"/>
            <w:noWrap w:val="0"/>
            <w:vAlign w:val="center"/>
          </w:tcPr>
          <w:p>
            <w:pPr>
              <w:pStyle w:val="16"/>
              <w:tabs>
                <w:tab w:val="left" w:pos="360"/>
                <w:tab w:val="left" w:pos="960"/>
              </w:tabs>
              <w:spacing w:before="0" w:beforeAutospacing="0" w:after="0" w:afterAutospacing="0" w:line="320" w:lineRule="exact"/>
              <w:jc w:val="cente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16</w:t>
            </w:r>
          </w:p>
        </w:tc>
        <w:tc>
          <w:tcPr>
            <w:tcW w:w="7771" w:type="dxa"/>
            <w:noWrap w:val="0"/>
            <w:vAlign w:val="center"/>
          </w:tcPr>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lang w:eastAsia="zh-CN"/>
              </w:rPr>
            </w:pPr>
            <w:r>
              <w:rPr>
                <w:rFonts w:hint="eastAsia" w:ascii="宋体" w:hAnsi="宋体" w:eastAsia="宋体" w:cs="宋体"/>
                <w:color w:val="auto"/>
                <w:sz w:val="32"/>
                <w:szCs w:val="32"/>
              </w:rPr>
              <w:t>本项目技术要求中的技术指标参数，每有一项未响应或不满足的扣1分，扣完为止，本项满分</w:t>
            </w:r>
            <w:r>
              <w:rPr>
                <w:rFonts w:hint="eastAsia" w:ascii="宋体" w:hAnsi="宋体" w:eastAsia="宋体" w:cs="宋体"/>
                <w:color w:val="auto"/>
                <w:sz w:val="32"/>
                <w:szCs w:val="32"/>
                <w:lang w:val="en-US" w:eastAsia="zh-CN"/>
              </w:rPr>
              <w:t>16</w:t>
            </w:r>
            <w:r>
              <w:rPr>
                <w:rFonts w:hint="eastAsia" w:ascii="宋体" w:hAnsi="宋体" w:eastAsia="宋体" w:cs="宋体"/>
                <w:color w:val="auto"/>
                <w:sz w:val="32"/>
                <w:szCs w:val="32"/>
              </w:rPr>
              <w:t>分。</w:t>
            </w:r>
            <w:r>
              <w:rPr>
                <w:rFonts w:hint="eastAsia" w:eastAsia="宋体" w:cs="宋体"/>
                <w:color w:val="auto"/>
                <w:sz w:val="32"/>
                <w:szCs w:val="32"/>
                <w:lang w:eastAsia="zh-CN"/>
              </w:rPr>
              <w:t>（以技术偏离表为准）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415" w:type="dxa"/>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rPr>
            </w:pPr>
            <w:r>
              <w:rPr>
                <w:rFonts w:hint="eastAsia" w:ascii="宋体" w:hAnsi="宋体" w:eastAsia="宋体" w:cs="宋体"/>
                <w:color w:val="auto"/>
                <w:sz w:val="32"/>
                <w:szCs w:val="32"/>
              </w:rPr>
              <w:t>2、技术方案</w:t>
            </w:r>
          </w:p>
        </w:tc>
        <w:tc>
          <w:tcPr>
            <w:tcW w:w="680" w:type="dxa"/>
            <w:noWrap w:val="0"/>
            <w:vAlign w:val="center"/>
          </w:tcPr>
          <w:p>
            <w:pPr>
              <w:pStyle w:val="16"/>
              <w:tabs>
                <w:tab w:val="left" w:pos="360"/>
                <w:tab w:val="left" w:pos="960"/>
              </w:tabs>
              <w:spacing w:before="0" w:beforeAutospacing="0" w:after="0" w:afterAutospacing="0" w:line="320" w:lineRule="exact"/>
              <w:jc w:val="cente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1</w:t>
            </w:r>
            <w:r>
              <w:rPr>
                <w:rFonts w:hint="eastAsia" w:ascii="宋体" w:hAnsi="宋体" w:eastAsia="宋体" w:cs="宋体"/>
                <w:color w:val="auto"/>
                <w:sz w:val="32"/>
                <w:szCs w:val="32"/>
                <w:lang w:val="en-US" w:eastAsia="zh-CN"/>
              </w:rPr>
              <w:t>0</w:t>
            </w:r>
          </w:p>
        </w:tc>
        <w:tc>
          <w:tcPr>
            <w:tcW w:w="7771" w:type="dxa"/>
            <w:noWrap w:val="0"/>
            <w:vAlign w:val="top"/>
          </w:tcPr>
          <w:p>
            <w:pPr>
              <w:pStyle w:val="16"/>
              <w:tabs>
                <w:tab w:val="left" w:pos="360"/>
                <w:tab w:val="left" w:pos="960"/>
              </w:tabs>
              <w:spacing w:before="0" w:beforeAutospacing="0" w:after="0" w:afterAutospacing="0" w:line="32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（1）根据</w:t>
            </w:r>
            <w:r>
              <w:rPr>
                <w:rFonts w:hint="eastAsia" w:eastAsia="宋体" w:cs="宋体"/>
                <w:color w:val="auto"/>
                <w:sz w:val="32"/>
                <w:szCs w:val="32"/>
                <w:lang w:eastAsia="zh-CN"/>
              </w:rPr>
              <w:t>供应商</w:t>
            </w:r>
            <w:r>
              <w:rPr>
                <w:rFonts w:hint="eastAsia" w:ascii="宋体" w:hAnsi="宋体" w:eastAsia="宋体" w:cs="宋体"/>
                <w:color w:val="auto"/>
                <w:sz w:val="32"/>
                <w:szCs w:val="32"/>
              </w:rPr>
              <w:t>提供的项目实施方案合理性、可行性和先进性等情况综合比较后评分。方案内容较好，得</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分；方案内容一般，得</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分；方案内容差，得</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分；</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rPr>
            </w:pPr>
            <w:r>
              <w:rPr>
                <w:rFonts w:hint="eastAsia" w:ascii="宋体" w:hAnsi="宋体" w:eastAsia="宋体" w:cs="宋体"/>
                <w:color w:val="auto"/>
                <w:sz w:val="32"/>
                <w:szCs w:val="32"/>
              </w:rPr>
              <w:t>（2）项目具体进度计划和保证措施，保证项目工期和施工进度计划和措施的严密性、合理性，计划和措施较完善，得</w:t>
            </w:r>
            <w:r>
              <w:rPr>
                <w:rFonts w:hint="eastAsia" w:ascii="宋体" w:hAnsi="宋体" w:eastAsia="宋体" w:cs="宋体"/>
                <w:color w:val="auto"/>
                <w:sz w:val="32"/>
                <w:szCs w:val="32"/>
                <w:lang w:val="en-US" w:eastAsia="zh-CN"/>
              </w:rPr>
              <w:t>6</w:t>
            </w:r>
            <w:r>
              <w:rPr>
                <w:rFonts w:hint="eastAsia" w:ascii="宋体" w:hAnsi="宋体" w:eastAsia="宋体" w:cs="宋体"/>
                <w:color w:val="auto"/>
                <w:sz w:val="32"/>
                <w:szCs w:val="32"/>
              </w:rPr>
              <w:t>分；计划和措施一般，得</w:t>
            </w:r>
            <w:r>
              <w:rPr>
                <w:rFonts w:hint="eastAsia" w:ascii="宋体" w:hAnsi="宋体" w:eastAsia="宋体" w:cs="宋体"/>
                <w:color w:val="auto"/>
                <w:sz w:val="32"/>
                <w:szCs w:val="32"/>
                <w:lang w:val="en-US" w:eastAsia="zh-CN"/>
              </w:rPr>
              <w:t>3</w:t>
            </w:r>
            <w:r>
              <w:rPr>
                <w:rFonts w:hint="eastAsia" w:ascii="宋体" w:hAnsi="宋体" w:eastAsia="宋体" w:cs="宋体"/>
                <w:color w:val="auto"/>
                <w:sz w:val="32"/>
                <w:szCs w:val="32"/>
              </w:rPr>
              <w:t>分；计划和措施较差，得</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415" w:type="dxa"/>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rPr>
            </w:pPr>
            <w:r>
              <w:rPr>
                <w:rFonts w:hint="eastAsia" w:ascii="宋体" w:hAnsi="宋体" w:eastAsia="宋体" w:cs="宋体"/>
                <w:color w:val="auto"/>
                <w:sz w:val="32"/>
                <w:szCs w:val="32"/>
              </w:rPr>
              <w:t>3、安装调试及培训</w:t>
            </w:r>
          </w:p>
        </w:tc>
        <w:tc>
          <w:tcPr>
            <w:tcW w:w="680" w:type="dxa"/>
            <w:noWrap w:val="0"/>
            <w:vAlign w:val="center"/>
          </w:tcPr>
          <w:p>
            <w:pPr>
              <w:pStyle w:val="16"/>
              <w:tabs>
                <w:tab w:val="left" w:pos="360"/>
                <w:tab w:val="left" w:pos="960"/>
              </w:tabs>
              <w:spacing w:before="0" w:beforeAutospacing="0" w:after="0" w:afterAutospacing="0" w:line="32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5</w:t>
            </w:r>
          </w:p>
        </w:tc>
        <w:tc>
          <w:tcPr>
            <w:tcW w:w="7771" w:type="dxa"/>
            <w:noWrap w:val="0"/>
            <w:vAlign w:val="center"/>
          </w:tcPr>
          <w:p>
            <w:pPr>
              <w:pStyle w:val="16"/>
              <w:tabs>
                <w:tab w:val="left" w:pos="360"/>
                <w:tab w:val="left" w:pos="960"/>
              </w:tabs>
              <w:spacing w:before="0" w:beforeAutospacing="0" w:after="0" w:afterAutospacing="0" w:line="320" w:lineRule="exact"/>
              <w:ind w:firstLine="707" w:firstLineChars="221"/>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rPr>
              <w:t>根据投标供应商安装调试及验收培训方案与措施，根据投标人提供的方案、措施进行综合打分，方案与措施较好，得5分；方案与措施一般，得1分。</w:t>
            </w:r>
            <w:r>
              <w:rPr>
                <w:rFonts w:hint="eastAsia" w:eastAsia="宋体" w:cs="宋体"/>
                <w:color w:val="auto"/>
                <w:sz w:val="32"/>
                <w:szCs w:val="32"/>
                <w:lang w:val="en-US" w:eastAsia="zh-CN"/>
              </w:rPr>
              <w:t>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415" w:type="dxa"/>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rPr>
            </w:pPr>
            <w:r>
              <w:rPr>
                <w:rFonts w:hint="eastAsia" w:ascii="宋体" w:hAnsi="宋体" w:eastAsia="宋体" w:cs="宋体"/>
                <w:color w:val="auto"/>
                <w:sz w:val="32"/>
                <w:szCs w:val="32"/>
              </w:rPr>
              <w:t>4、</w:t>
            </w:r>
            <w:r>
              <w:rPr>
                <w:rFonts w:hint="eastAsia" w:ascii="宋体" w:hAnsi="宋体" w:eastAsia="宋体" w:cs="宋体"/>
                <w:color w:val="auto"/>
                <w:sz w:val="32"/>
                <w:szCs w:val="32"/>
                <w:shd w:val="clear" w:color="auto" w:fill="auto"/>
              </w:rPr>
              <w:t>售后服</w:t>
            </w:r>
            <w:r>
              <w:rPr>
                <w:rFonts w:hint="eastAsia" w:ascii="宋体" w:hAnsi="宋体" w:eastAsia="宋体" w:cs="宋体"/>
                <w:color w:val="auto"/>
                <w:sz w:val="32"/>
                <w:szCs w:val="32"/>
              </w:rPr>
              <w:t>务</w:t>
            </w:r>
          </w:p>
        </w:tc>
        <w:tc>
          <w:tcPr>
            <w:tcW w:w="680" w:type="dxa"/>
            <w:noWrap w:val="0"/>
            <w:vAlign w:val="center"/>
          </w:tcPr>
          <w:p>
            <w:pPr>
              <w:pStyle w:val="16"/>
              <w:tabs>
                <w:tab w:val="left" w:pos="360"/>
                <w:tab w:val="left" w:pos="960"/>
              </w:tabs>
              <w:spacing w:before="0" w:beforeAutospacing="0" w:after="0" w:afterAutospacing="0" w:line="320" w:lineRule="exact"/>
              <w:jc w:val="cente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3</w:t>
            </w:r>
          </w:p>
        </w:tc>
        <w:tc>
          <w:tcPr>
            <w:tcW w:w="7771" w:type="dxa"/>
            <w:noWrap w:val="0"/>
            <w:vAlign w:val="center"/>
          </w:tcPr>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rPr>
            </w:pPr>
            <w:r>
              <w:rPr>
                <w:rFonts w:hint="eastAsia" w:eastAsia="宋体" w:cs="宋体"/>
                <w:color w:val="auto"/>
                <w:sz w:val="32"/>
                <w:szCs w:val="32"/>
                <w:lang w:eastAsia="zh-CN"/>
              </w:rPr>
              <w:t>根据供应商</w:t>
            </w:r>
            <w:r>
              <w:rPr>
                <w:rFonts w:hint="eastAsia" w:ascii="宋体" w:hAnsi="宋体" w:eastAsia="宋体" w:cs="宋体"/>
                <w:color w:val="auto"/>
                <w:sz w:val="32"/>
                <w:szCs w:val="32"/>
              </w:rPr>
              <w:t>针对本项目的服务方案（包括服务网点设置，服务人员的配备和技术力量、售后机构完善程度、响应时间和程度、解决问题的能力、运维保障经验紧急故障处理预案等情况）</w:t>
            </w:r>
            <w:r>
              <w:rPr>
                <w:rFonts w:hint="eastAsia" w:eastAsia="宋体" w:cs="宋体"/>
                <w:color w:val="auto"/>
                <w:sz w:val="32"/>
                <w:szCs w:val="32"/>
                <w:lang w:eastAsia="zh-CN"/>
              </w:rPr>
              <w:t>进行打分，</w:t>
            </w:r>
            <w:r>
              <w:rPr>
                <w:rFonts w:hint="eastAsia" w:eastAsia="宋体" w:cs="宋体"/>
                <w:color w:val="auto"/>
                <w:sz w:val="32"/>
                <w:szCs w:val="32"/>
                <w:lang w:val="en-US" w:eastAsia="zh-CN"/>
              </w:rPr>
              <w:t>优秀得3分，良好得1分，较差不得分</w:t>
            </w:r>
            <w:r>
              <w:rPr>
                <w:rFonts w:hint="eastAsia" w:ascii="宋体" w:hAnsi="宋体" w:eastAsia="宋体" w:cs="宋体"/>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415" w:type="dxa"/>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5</w:t>
            </w:r>
            <w:r>
              <w:rPr>
                <w:rFonts w:hint="eastAsia" w:ascii="宋体" w:hAnsi="宋体" w:eastAsia="宋体" w:cs="宋体"/>
                <w:color w:val="auto"/>
                <w:sz w:val="32"/>
                <w:szCs w:val="32"/>
              </w:rPr>
              <w:t>、功能目标实现情况及演示</w:t>
            </w:r>
          </w:p>
        </w:tc>
        <w:tc>
          <w:tcPr>
            <w:tcW w:w="680" w:type="dxa"/>
            <w:noWrap w:val="0"/>
            <w:vAlign w:val="center"/>
          </w:tcPr>
          <w:p>
            <w:pPr>
              <w:pStyle w:val="16"/>
              <w:tabs>
                <w:tab w:val="left" w:pos="360"/>
                <w:tab w:val="left" w:pos="960"/>
              </w:tabs>
              <w:spacing w:before="0" w:beforeAutospacing="0" w:after="0" w:afterAutospacing="0" w:line="320" w:lineRule="exact"/>
              <w:jc w:val="cente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17</w:t>
            </w:r>
          </w:p>
        </w:tc>
        <w:tc>
          <w:tcPr>
            <w:tcW w:w="7771" w:type="dxa"/>
            <w:noWrap w:val="0"/>
            <w:vAlign w:val="center"/>
          </w:tcPr>
          <w:p>
            <w:pPr>
              <w:widowControl/>
              <w:spacing w:line="276" w:lineRule="auto"/>
              <w:rPr>
                <w:rFonts w:hint="eastAsia" w:ascii="宋体" w:hAnsi="宋体" w:eastAsia="宋体" w:cs="宋体"/>
                <w:color w:val="auto"/>
                <w:kern w:val="0"/>
                <w:sz w:val="32"/>
                <w:szCs w:val="32"/>
                <w:lang w:val="en-US" w:eastAsia="zh-CN" w:bidi="ar-SA"/>
              </w:rPr>
            </w:pPr>
            <w:r>
              <w:rPr>
                <w:rFonts w:hint="eastAsia" w:ascii="宋体" w:hAnsi="宋体" w:eastAsia="宋体" w:cs="宋体"/>
                <w:color w:val="auto"/>
                <w:kern w:val="0"/>
                <w:sz w:val="32"/>
                <w:szCs w:val="32"/>
                <w:lang w:val="en-US" w:eastAsia="zh-CN" w:bidi="ar-SA"/>
              </w:rPr>
              <w:t>演示要求：</w:t>
            </w:r>
          </w:p>
          <w:p>
            <w:pPr>
              <w:widowControl/>
              <w:spacing w:line="276" w:lineRule="auto"/>
              <w:rPr>
                <w:rFonts w:hint="eastAsia" w:ascii="宋体" w:hAnsi="宋体" w:eastAsia="宋体" w:cs="宋体"/>
                <w:color w:val="auto"/>
                <w:kern w:val="0"/>
                <w:sz w:val="32"/>
                <w:szCs w:val="32"/>
                <w:lang w:val="en-US" w:eastAsia="zh-CN" w:bidi="ar-SA"/>
              </w:rPr>
            </w:pPr>
            <w:r>
              <w:rPr>
                <w:rFonts w:hint="eastAsia" w:ascii="宋体" w:hAnsi="宋体" w:eastAsia="宋体" w:cs="宋体"/>
                <w:color w:val="auto"/>
                <w:kern w:val="0"/>
                <w:sz w:val="32"/>
                <w:szCs w:val="32"/>
                <w:lang w:val="en-US" w:eastAsia="zh-CN" w:bidi="ar-SA"/>
              </w:rPr>
              <w:t>1、演示要求：①提供平台录制视频演示，不接受PPT、截图方式演示；</w:t>
            </w:r>
            <w:r>
              <w:rPr>
                <w:rFonts w:hint="eastAsia" w:ascii="宋体" w:hAnsi="宋体" w:eastAsia="宋体" w:cs="宋体"/>
                <w:color w:val="auto"/>
                <w:kern w:val="0"/>
                <w:sz w:val="32"/>
                <w:szCs w:val="32"/>
                <w:lang w:val="en-US" w:eastAsia="zh-CN" w:bidi="ar-SA"/>
              </w:rPr>
              <w:fldChar w:fldCharType="begin"/>
            </w:r>
            <w:r>
              <w:rPr>
                <w:rFonts w:hint="eastAsia" w:ascii="宋体" w:hAnsi="宋体" w:eastAsia="宋体" w:cs="宋体"/>
                <w:color w:val="auto"/>
                <w:kern w:val="0"/>
                <w:sz w:val="32"/>
                <w:szCs w:val="32"/>
                <w:lang w:val="en-US" w:eastAsia="zh-CN" w:bidi="ar-SA"/>
              </w:rPr>
              <w:instrText xml:space="preserve"> = 2 \* GB3 </w:instrText>
            </w:r>
            <w:r>
              <w:rPr>
                <w:rFonts w:hint="eastAsia" w:ascii="宋体" w:hAnsi="宋体" w:eastAsia="宋体" w:cs="宋体"/>
                <w:color w:val="auto"/>
                <w:kern w:val="0"/>
                <w:sz w:val="32"/>
                <w:szCs w:val="32"/>
                <w:lang w:val="en-US" w:eastAsia="zh-CN" w:bidi="ar-SA"/>
              </w:rPr>
              <w:fldChar w:fldCharType="separate"/>
            </w:r>
            <w:r>
              <w:rPr>
                <w:rFonts w:hint="eastAsia" w:ascii="宋体" w:hAnsi="宋体" w:eastAsia="宋体" w:cs="宋体"/>
                <w:color w:val="auto"/>
                <w:kern w:val="0"/>
                <w:sz w:val="32"/>
                <w:szCs w:val="32"/>
                <w:lang w:val="en-US" w:eastAsia="zh-CN" w:bidi="ar-SA"/>
              </w:rPr>
              <w:t>②</w:t>
            </w:r>
            <w:r>
              <w:rPr>
                <w:rFonts w:hint="eastAsia" w:ascii="宋体" w:hAnsi="宋体" w:eastAsia="宋体" w:cs="宋体"/>
                <w:color w:val="auto"/>
                <w:kern w:val="0"/>
                <w:sz w:val="32"/>
                <w:szCs w:val="32"/>
                <w:lang w:val="en-US" w:eastAsia="zh-CN" w:bidi="ar-SA"/>
              </w:rPr>
              <w:fldChar w:fldCharType="end"/>
            </w:r>
            <w:r>
              <w:rPr>
                <w:rFonts w:hint="eastAsia" w:ascii="宋体" w:hAnsi="宋体" w:eastAsia="宋体" w:cs="宋体"/>
                <w:color w:val="auto"/>
                <w:kern w:val="0"/>
                <w:sz w:val="32"/>
                <w:szCs w:val="32"/>
                <w:lang w:val="en-US" w:eastAsia="zh-CN" w:bidi="ar-SA"/>
              </w:rPr>
              <w:t>演示时间限时10分钟；③视频演示需自行提供U盘（U盘和技术标文件密封在一起或单独密封）。</w:t>
            </w:r>
          </w:p>
          <w:p>
            <w:pPr>
              <w:widowControl/>
              <w:spacing w:line="276" w:lineRule="auto"/>
              <w:rPr>
                <w:rFonts w:hint="eastAsia" w:ascii="宋体" w:hAnsi="宋体" w:eastAsia="宋体" w:cs="宋体"/>
                <w:color w:val="auto"/>
                <w:kern w:val="0"/>
                <w:sz w:val="32"/>
                <w:szCs w:val="32"/>
                <w:lang w:val="en-US" w:eastAsia="zh-CN" w:bidi="ar-SA"/>
              </w:rPr>
            </w:pPr>
            <w:r>
              <w:rPr>
                <w:rFonts w:hint="eastAsia" w:ascii="宋体" w:hAnsi="宋体" w:eastAsia="宋体" w:cs="宋体"/>
                <w:color w:val="auto"/>
                <w:kern w:val="0"/>
                <w:sz w:val="32"/>
                <w:szCs w:val="32"/>
                <w:lang w:val="en-US" w:eastAsia="zh-CN" w:bidi="ar-SA"/>
              </w:rPr>
              <w:t>2、演示顺序要求：依照响应文件递交顺序依次进行。</w:t>
            </w:r>
          </w:p>
          <w:p>
            <w:pPr>
              <w:widowControl/>
              <w:spacing w:line="276" w:lineRule="auto"/>
              <w:rPr>
                <w:rFonts w:hint="eastAsia" w:ascii="宋体" w:hAnsi="宋体" w:eastAsia="宋体" w:cs="宋体"/>
                <w:color w:val="auto"/>
                <w:kern w:val="0"/>
                <w:sz w:val="32"/>
                <w:szCs w:val="32"/>
                <w:lang w:val="en-US" w:eastAsia="zh-CN" w:bidi="ar-SA"/>
              </w:rPr>
            </w:pPr>
            <w:r>
              <w:rPr>
                <w:rFonts w:hint="eastAsia" w:ascii="宋体" w:hAnsi="宋体" w:eastAsia="宋体" w:cs="宋体"/>
                <w:color w:val="auto"/>
                <w:kern w:val="0"/>
                <w:sz w:val="32"/>
                <w:szCs w:val="32"/>
                <w:lang w:val="en-US" w:eastAsia="zh-CN" w:bidi="ar-SA"/>
              </w:rPr>
              <w:t>3、具体演示评分标准：</w:t>
            </w:r>
          </w:p>
          <w:p>
            <w:pPr>
              <w:widowControl/>
              <w:spacing w:line="276" w:lineRule="auto"/>
              <w:rPr>
                <w:rFonts w:hint="eastAsia" w:ascii="宋体" w:hAnsi="宋体" w:eastAsia="宋体" w:cs="宋体"/>
                <w:color w:val="auto"/>
                <w:kern w:val="0"/>
                <w:sz w:val="32"/>
                <w:szCs w:val="32"/>
                <w:lang w:val="en-US" w:eastAsia="zh-CN" w:bidi="ar-SA"/>
              </w:rPr>
            </w:pPr>
            <w:r>
              <w:rPr>
                <w:rFonts w:hint="eastAsia" w:ascii="宋体" w:hAnsi="宋体" w:eastAsia="宋体" w:cs="宋体"/>
                <w:color w:val="auto"/>
                <w:kern w:val="0"/>
                <w:sz w:val="32"/>
                <w:szCs w:val="32"/>
                <w:lang w:val="en-US" w:eastAsia="zh-CN" w:bidi="ar-SA"/>
              </w:rPr>
              <w:t>演示评分点，每个</w:t>
            </w:r>
            <w:r>
              <w:rPr>
                <w:rFonts w:hint="eastAsia" w:ascii="宋体" w:hAnsi="宋体" w:eastAsia="宋体" w:cs="宋体"/>
                <w:color w:val="auto"/>
                <w:sz w:val="32"/>
                <w:szCs w:val="32"/>
              </w:rPr>
              <w:t>“★”号</w:t>
            </w:r>
            <w:r>
              <w:rPr>
                <w:rFonts w:hint="eastAsia" w:ascii="宋体" w:hAnsi="宋体" w:eastAsia="宋体" w:cs="宋体"/>
                <w:color w:val="auto"/>
                <w:kern w:val="0"/>
                <w:sz w:val="32"/>
                <w:szCs w:val="32"/>
                <w:lang w:val="en-US" w:eastAsia="zh-CN" w:bidi="ar-SA"/>
              </w:rPr>
              <w:t>评分点</w:t>
            </w:r>
            <w:r>
              <w:rPr>
                <w:rFonts w:hint="eastAsia" w:ascii="宋体" w:hAnsi="宋体" w:eastAsia="宋体" w:cs="宋体"/>
                <w:color w:val="auto"/>
                <w:kern w:val="0"/>
                <w:sz w:val="32"/>
                <w:szCs w:val="32"/>
                <w:lang w:val="en-US" w:eastAsia="zh-CN" w:bidi="ar-SA"/>
              </w:rPr>
              <w:t>具有一项符合技术要求，得2分；本项最高分为17分。</w:t>
            </w:r>
          </w:p>
          <w:p>
            <w:pPr>
              <w:widowControl/>
              <w:spacing w:line="276" w:lineRule="auto"/>
              <w:rPr>
                <w:rFonts w:hint="eastAsia" w:ascii="宋体" w:hAnsi="宋体" w:eastAsia="宋体" w:cs="宋体"/>
                <w:color w:val="auto"/>
                <w:kern w:val="0"/>
                <w:sz w:val="32"/>
                <w:szCs w:val="32"/>
                <w:lang w:val="en-US" w:eastAsia="zh-CN" w:bidi="ar-SA"/>
              </w:rPr>
            </w:pPr>
            <w:r>
              <w:rPr>
                <w:rFonts w:hint="eastAsia" w:ascii="宋体" w:hAnsi="宋体" w:eastAsia="宋体" w:cs="宋体"/>
                <w:color w:val="auto"/>
                <w:kern w:val="0"/>
                <w:sz w:val="32"/>
                <w:szCs w:val="32"/>
                <w:lang w:val="en-US" w:eastAsia="zh-CN" w:bidi="ar-SA"/>
              </w:rPr>
              <w:t>无演示得0分。</w:t>
            </w:r>
          </w:p>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rPr>
              <w:t>4、演示内容:技术参数中标注“★”号的为演示项。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9866" w:type="dxa"/>
            <w:gridSpan w:val="3"/>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rPr>
            </w:pPr>
            <w:r>
              <w:rPr>
                <w:rFonts w:hint="eastAsia" w:ascii="宋体" w:hAnsi="宋体" w:eastAsia="宋体" w:cs="宋体"/>
                <w:color w:val="auto"/>
                <w:sz w:val="32"/>
                <w:szCs w:val="32"/>
              </w:rPr>
              <w:t>二、商务资信及其他分（</w:t>
            </w:r>
            <w:r>
              <w:rPr>
                <w:rFonts w:hint="eastAsia" w:ascii="宋体" w:hAnsi="宋体" w:eastAsia="宋体" w:cs="宋体"/>
                <w:color w:val="auto"/>
                <w:sz w:val="32"/>
                <w:szCs w:val="32"/>
                <w:lang w:val="en-US" w:eastAsia="zh-CN"/>
              </w:rPr>
              <w:t>19</w:t>
            </w:r>
            <w:r>
              <w:rPr>
                <w:rFonts w:hint="eastAsia" w:ascii="宋体" w:hAnsi="宋体" w:eastAsia="宋体" w:cs="宋体"/>
                <w:color w:val="auto"/>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415" w:type="dxa"/>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rPr>
            </w:pPr>
            <w:r>
              <w:rPr>
                <w:rFonts w:hint="eastAsia" w:ascii="宋体" w:hAnsi="宋体" w:eastAsia="宋体" w:cs="宋体"/>
                <w:color w:val="auto"/>
                <w:sz w:val="32"/>
                <w:szCs w:val="32"/>
              </w:rPr>
              <w:t>1、供应商综合实力</w:t>
            </w:r>
          </w:p>
        </w:tc>
        <w:tc>
          <w:tcPr>
            <w:tcW w:w="680" w:type="dxa"/>
            <w:noWrap w:val="0"/>
            <w:vAlign w:val="center"/>
          </w:tcPr>
          <w:p>
            <w:pPr>
              <w:pStyle w:val="16"/>
              <w:tabs>
                <w:tab w:val="left" w:pos="360"/>
                <w:tab w:val="left" w:pos="960"/>
              </w:tabs>
              <w:spacing w:before="0" w:beforeAutospacing="0" w:after="0" w:afterAutospacing="0" w:line="320" w:lineRule="exact"/>
              <w:jc w:val="cente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w:t>
            </w:r>
            <w:r>
              <w:rPr>
                <w:rFonts w:hint="eastAsia" w:eastAsia="宋体" w:cs="宋体"/>
                <w:color w:val="auto"/>
                <w:sz w:val="32"/>
                <w:szCs w:val="32"/>
                <w:lang w:val="en-US" w:eastAsia="zh-CN"/>
              </w:rPr>
              <w:t>3</w:t>
            </w:r>
          </w:p>
        </w:tc>
        <w:tc>
          <w:tcPr>
            <w:tcW w:w="7771" w:type="dxa"/>
            <w:noWrap w:val="0"/>
            <w:vAlign w:val="center"/>
          </w:tcPr>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1、投标人具有有效期内的ISO9001质量管理体系认证证书，得</w:t>
            </w:r>
            <w:r>
              <w:rPr>
                <w:rFonts w:hint="eastAsia" w:eastAsia="宋体" w:cs="宋体"/>
                <w:color w:val="auto"/>
                <w:sz w:val="32"/>
                <w:szCs w:val="32"/>
                <w:highlight w:val="none"/>
                <w:lang w:val="en-US" w:eastAsia="zh-CN"/>
              </w:rPr>
              <w:t>2</w:t>
            </w:r>
            <w:r>
              <w:rPr>
                <w:rFonts w:hint="eastAsia" w:ascii="宋体" w:hAnsi="宋体" w:eastAsia="宋体" w:cs="宋体"/>
                <w:color w:val="auto"/>
                <w:sz w:val="32"/>
                <w:szCs w:val="32"/>
                <w:highlight w:val="none"/>
              </w:rPr>
              <w:t>分；</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2、投标人具有信息系统安全等级保护第二级及以上资质证明（需完整提供备案证明、认定报告、备案表），得</w:t>
            </w:r>
            <w:r>
              <w:rPr>
                <w:rFonts w:hint="eastAsia" w:eastAsia="宋体" w:cs="宋体"/>
                <w:color w:val="auto"/>
                <w:sz w:val="32"/>
                <w:szCs w:val="32"/>
                <w:highlight w:val="none"/>
                <w:lang w:val="en-US" w:eastAsia="zh-CN"/>
              </w:rPr>
              <w:t>2</w:t>
            </w:r>
            <w:r>
              <w:rPr>
                <w:rFonts w:hint="eastAsia" w:ascii="宋体" w:hAnsi="宋体" w:eastAsia="宋体" w:cs="宋体"/>
                <w:color w:val="auto"/>
                <w:sz w:val="32"/>
                <w:szCs w:val="32"/>
                <w:highlight w:val="none"/>
              </w:rPr>
              <w:t>分；</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3、投标人为国家级高新技术企业，得</w:t>
            </w:r>
            <w:r>
              <w:rPr>
                <w:rFonts w:hint="eastAsia" w:eastAsia="宋体" w:cs="宋体"/>
                <w:color w:val="auto"/>
                <w:sz w:val="32"/>
                <w:szCs w:val="32"/>
                <w:highlight w:val="none"/>
                <w:lang w:val="en-US" w:eastAsia="zh-CN"/>
              </w:rPr>
              <w:t>3</w:t>
            </w:r>
            <w:r>
              <w:rPr>
                <w:rFonts w:hint="eastAsia" w:ascii="宋体" w:hAnsi="宋体" w:eastAsia="宋体" w:cs="宋体"/>
                <w:color w:val="auto"/>
                <w:sz w:val="32"/>
                <w:szCs w:val="32"/>
                <w:highlight w:val="none"/>
              </w:rPr>
              <w:t>分；</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4、投标人近三年获得行业最高级资信证书，如：最高级AAA证书，得</w:t>
            </w:r>
            <w:r>
              <w:rPr>
                <w:rFonts w:hint="eastAsia" w:ascii="宋体" w:hAnsi="宋体" w:eastAsia="宋体" w:cs="宋体"/>
                <w:color w:val="auto"/>
                <w:sz w:val="32"/>
                <w:szCs w:val="32"/>
                <w:highlight w:val="none"/>
                <w:lang w:val="en-US" w:eastAsia="zh-CN"/>
              </w:rPr>
              <w:t>2</w:t>
            </w:r>
            <w:r>
              <w:rPr>
                <w:rFonts w:hint="eastAsia" w:ascii="宋体" w:hAnsi="宋体" w:eastAsia="宋体" w:cs="宋体"/>
                <w:color w:val="auto"/>
                <w:sz w:val="32"/>
                <w:szCs w:val="32"/>
                <w:highlight w:val="none"/>
              </w:rPr>
              <w:t>分，次高级资信证书得</w:t>
            </w:r>
            <w:r>
              <w:rPr>
                <w:rFonts w:hint="eastAsia" w:ascii="宋体" w:hAnsi="宋体" w:eastAsia="宋体" w:cs="宋体"/>
                <w:color w:val="auto"/>
                <w:sz w:val="32"/>
                <w:szCs w:val="32"/>
                <w:highlight w:val="none"/>
                <w:lang w:val="en-US" w:eastAsia="zh-CN"/>
              </w:rPr>
              <w:t>1</w:t>
            </w:r>
            <w:r>
              <w:rPr>
                <w:rFonts w:hint="eastAsia" w:ascii="宋体" w:hAnsi="宋体" w:eastAsia="宋体" w:cs="宋体"/>
                <w:color w:val="auto"/>
                <w:sz w:val="32"/>
                <w:szCs w:val="32"/>
                <w:highlight w:val="none"/>
              </w:rPr>
              <w:t>分，达不到不得分；</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5、投标人为产教融合型企业，国家级</w:t>
            </w:r>
            <w:r>
              <w:rPr>
                <w:rFonts w:hint="eastAsia" w:eastAsia="宋体" w:cs="宋体"/>
                <w:color w:val="auto"/>
                <w:sz w:val="32"/>
                <w:szCs w:val="32"/>
                <w:highlight w:val="none"/>
                <w:lang w:val="en-US" w:eastAsia="zh-CN"/>
              </w:rPr>
              <w:t>2分</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省级1</w:t>
            </w:r>
            <w:r>
              <w:rPr>
                <w:rFonts w:hint="eastAsia" w:ascii="宋体" w:hAnsi="宋体" w:eastAsia="宋体" w:cs="宋体"/>
                <w:color w:val="auto"/>
                <w:sz w:val="32"/>
                <w:szCs w:val="32"/>
                <w:highlight w:val="none"/>
              </w:rPr>
              <w:t>分，未取得不得分；</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6、投标人在近三年中获得国家级荣誉得</w:t>
            </w:r>
            <w:r>
              <w:rPr>
                <w:rFonts w:hint="eastAsia" w:eastAsia="宋体" w:cs="宋体"/>
                <w:color w:val="auto"/>
                <w:sz w:val="32"/>
                <w:szCs w:val="32"/>
                <w:highlight w:val="none"/>
                <w:lang w:val="en-US" w:eastAsia="zh-CN"/>
              </w:rPr>
              <w:t>2</w:t>
            </w:r>
            <w:r>
              <w:rPr>
                <w:rFonts w:hint="eastAsia" w:ascii="宋体" w:hAnsi="宋体" w:eastAsia="宋体" w:cs="宋体"/>
                <w:color w:val="auto"/>
                <w:sz w:val="32"/>
                <w:szCs w:val="32"/>
                <w:highlight w:val="none"/>
              </w:rPr>
              <w:t>分，省级荣誉得1分，未取得不得分。</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上述文件需提供有效期内完整清晰的相关证书扫描件，否则不得分。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415" w:type="dxa"/>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、成功案例业绩</w:t>
            </w:r>
          </w:p>
        </w:tc>
        <w:tc>
          <w:tcPr>
            <w:tcW w:w="680" w:type="dxa"/>
            <w:noWrap w:val="0"/>
            <w:vAlign w:val="center"/>
          </w:tcPr>
          <w:p>
            <w:pPr>
              <w:pStyle w:val="16"/>
              <w:tabs>
                <w:tab w:val="left" w:pos="360"/>
                <w:tab w:val="left" w:pos="960"/>
              </w:tabs>
              <w:spacing w:before="0" w:beforeAutospacing="0" w:after="0" w:afterAutospacing="0" w:line="320" w:lineRule="exact"/>
              <w:jc w:val="cente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6</w:t>
            </w:r>
          </w:p>
        </w:tc>
        <w:tc>
          <w:tcPr>
            <w:tcW w:w="7771" w:type="dxa"/>
            <w:noWrap w:val="0"/>
            <w:vAlign w:val="center"/>
          </w:tcPr>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rPr>
            </w:pPr>
            <w:r>
              <w:rPr>
                <w:rFonts w:hint="eastAsia" w:ascii="宋体" w:hAnsi="宋体" w:eastAsia="宋体" w:cs="宋体"/>
                <w:color w:val="auto"/>
                <w:sz w:val="32"/>
                <w:szCs w:val="32"/>
              </w:rPr>
              <w:t>1、根据投标人提供的202</w:t>
            </w:r>
            <w:r>
              <w:rPr>
                <w:rFonts w:hint="eastAsia" w:ascii="宋体" w:hAnsi="宋体" w:eastAsia="宋体" w:cs="宋体"/>
                <w:color w:val="auto"/>
                <w:sz w:val="32"/>
                <w:szCs w:val="32"/>
                <w:lang w:val="en-US" w:eastAsia="zh-CN"/>
              </w:rPr>
              <w:t>3</w:t>
            </w:r>
            <w:r>
              <w:rPr>
                <w:rFonts w:hint="eastAsia" w:ascii="宋体" w:hAnsi="宋体" w:eastAsia="宋体" w:cs="宋体"/>
                <w:color w:val="auto"/>
                <w:sz w:val="32"/>
                <w:szCs w:val="32"/>
              </w:rPr>
              <w:t>年1月1日以来成功实施的同类项目业绩，每提供一个业绩得1分，最高得</w:t>
            </w:r>
            <w:r>
              <w:rPr>
                <w:rFonts w:hint="eastAsia" w:ascii="宋体" w:hAnsi="宋体" w:eastAsia="宋体" w:cs="宋体"/>
                <w:color w:val="auto"/>
                <w:sz w:val="32"/>
                <w:szCs w:val="32"/>
                <w:lang w:val="en-US" w:eastAsia="zh-CN"/>
              </w:rPr>
              <w:t>3</w:t>
            </w:r>
            <w:r>
              <w:rPr>
                <w:rFonts w:hint="eastAsia" w:ascii="宋体" w:hAnsi="宋体" w:eastAsia="宋体" w:cs="宋体"/>
                <w:color w:val="auto"/>
                <w:sz w:val="32"/>
                <w:szCs w:val="32"/>
              </w:rPr>
              <w:t>分，须同时提供合同清晰复印件，否则不得分。投标人提供的业绩或案例经评标委员会认定为非同类项目的，则不得分。（业绩时间以合同签定时间为准）</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rPr>
            </w:pPr>
            <w:r>
              <w:rPr>
                <w:rFonts w:hint="eastAsia" w:ascii="宋体" w:hAnsi="宋体" w:eastAsia="宋体" w:cs="宋体"/>
                <w:color w:val="auto"/>
                <w:sz w:val="32"/>
                <w:szCs w:val="32"/>
              </w:rPr>
              <w:t>2、</w:t>
            </w:r>
            <w:r>
              <w:rPr>
                <w:rFonts w:hint="eastAsia" w:eastAsia="宋体" w:cs="宋体"/>
                <w:color w:val="auto"/>
                <w:sz w:val="32"/>
                <w:szCs w:val="32"/>
                <w:lang w:val="en-US" w:eastAsia="zh-CN"/>
              </w:rPr>
              <w:t>2021年以来</w:t>
            </w:r>
            <w:r>
              <w:rPr>
                <w:rFonts w:hint="eastAsia" w:ascii="宋体" w:hAnsi="宋体" w:eastAsia="宋体" w:cs="宋体"/>
                <w:color w:val="auto"/>
                <w:sz w:val="32"/>
                <w:szCs w:val="32"/>
              </w:rPr>
              <w:t>，有参与全国职业院校技能大赛</w:t>
            </w:r>
            <w:r>
              <w:rPr>
                <w:rFonts w:hint="eastAsia" w:ascii="宋体" w:hAnsi="宋体" w:eastAsia="宋体" w:cs="宋体"/>
                <w:color w:val="auto"/>
                <w:sz w:val="32"/>
                <w:szCs w:val="32"/>
                <w:lang w:val="en-US" w:eastAsia="zh-CN"/>
              </w:rPr>
              <w:t>或</w:t>
            </w:r>
            <w:r>
              <w:rPr>
                <w:rFonts w:hint="eastAsia" w:ascii="宋体" w:hAnsi="宋体" w:eastAsia="宋体" w:cs="宋体"/>
                <w:color w:val="auto"/>
                <w:sz w:val="32"/>
                <w:szCs w:val="32"/>
              </w:rPr>
              <w:t>世界职业院校技能大赛、全国职业技能大赛、世界技能大赛合作的经历，得3分；有参与省赛和行业赛经历，设备技术稳定且评价良好，得1分；没有相关资质和经历的，得0分。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415" w:type="dxa"/>
            <w:noWrap w:val="0"/>
            <w:vAlign w:val="center"/>
          </w:tcPr>
          <w:p>
            <w:pPr>
              <w:pStyle w:val="16"/>
              <w:tabs>
                <w:tab w:val="left" w:pos="360"/>
                <w:tab w:val="left" w:pos="960"/>
              </w:tabs>
              <w:spacing w:before="0" w:beforeAutospacing="0" w:after="0" w:afterAutospacing="0" w:line="320" w:lineRule="exact"/>
              <w:rPr>
                <w:rFonts w:hint="eastAsia" w:ascii="宋体" w:hAnsi="宋体" w:eastAsia="宋体" w:cs="宋体"/>
                <w:color w:val="auto"/>
                <w:sz w:val="32"/>
                <w:szCs w:val="32"/>
                <w:lang w:val="en-US" w:eastAsia="zh-CN"/>
              </w:rPr>
            </w:pPr>
            <w:r>
              <w:rPr>
                <w:rFonts w:hint="eastAsia" w:ascii="宋体" w:hAnsi="宋体" w:eastAsia="宋体" w:cs="宋体"/>
                <w:color w:val="auto"/>
                <w:kern w:val="0"/>
                <w:sz w:val="32"/>
                <w:szCs w:val="32"/>
              </w:rPr>
              <w:t>价格分</w:t>
            </w:r>
          </w:p>
        </w:tc>
        <w:tc>
          <w:tcPr>
            <w:tcW w:w="680" w:type="dxa"/>
            <w:noWrap w:val="0"/>
            <w:vAlign w:val="center"/>
          </w:tcPr>
          <w:p>
            <w:pPr>
              <w:pStyle w:val="16"/>
              <w:tabs>
                <w:tab w:val="left" w:pos="360"/>
                <w:tab w:val="left" w:pos="960"/>
              </w:tabs>
              <w:spacing w:before="0" w:beforeAutospacing="0" w:after="0" w:afterAutospacing="0" w:line="320" w:lineRule="exact"/>
              <w:jc w:val="center"/>
              <w:rPr>
                <w:rFonts w:hint="default" w:ascii="宋体" w:hAnsi="宋体" w:eastAsia="宋体" w:cs="宋体"/>
                <w:color w:val="auto"/>
                <w:sz w:val="32"/>
                <w:szCs w:val="32"/>
                <w:lang w:val="en-US" w:eastAsia="zh-CN"/>
              </w:rPr>
            </w:pPr>
            <w:r>
              <w:rPr>
                <w:rFonts w:hint="eastAsia" w:eastAsia="宋体" w:cs="宋体"/>
                <w:color w:val="auto"/>
                <w:sz w:val="32"/>
                <w:szCs w:val="32"/>
                <w:lang w:val="en-US" w:eastAsia="zh-CN"/>
              </w:rPr>
              <w:t>30分</w:t>
            </w:r>
          </w:p>
        </w:tc>
        <w:tc>
          <w:tcPr>
            <w:tcW w:w="7771" w:type="dxa"/>
            <w:noWrap w:val="0"/>
            <w:vAlign w:val="center"/>
          </w:tcPr>
          <w:p>
            <w:pPr>
              <w:autoSpaceDE w:val="0"/>
              <w:autoSpaceDN w:val="0"/>
              <w:adjustRightInd w:val="0"/>
              <w:snapToGrid w:val="0"/>
              <w:jc w:val="left"/>
              <w:rPr>
                <w:rFonts w:hint="eastAsia" w:ascii="宋体" w:hAnsi="宋体" w:eastAsia="宋体" w:cs="宋体"/>
                <w:color w:val="auto"/>
                <w:sz w:val="32"/>
                <w:szCs w:val="32"/>
              </w:rPr>
            </w:pPr>
            <w:r>
              <w:rPr>
                <w:rFonts w:hint="eastAsia" w:ascii="宋体" w:hAnsi="宋体" w:eastAsia="宋体" w:cs="宋体"/>
                <w:color w:val="auto"/>
                <w:sz w:val="32"/>
                <w:szCs w:val="32"/>
              </w:rPr>
              <w:t>（1）有效投标报价：有效投标报价是指通过初步评审的投标报价。</w:t>
            </w:r>
          </w:p>
          <w:p>
            <w:pPr>
              <w:autoSpaceDE w:val="0"/>
              <w:autoSpaceDN w:val="0"/>
              <w:adjustRightInd w:val="0"/>
              <w:snapToGrid w:val="0"/>
              <w:jc w:val="left"/>
              <w:rPr>
                <w:rFonts w:hint="eastAsia" w:ascii="宋体" w:hAnsi="宋体" w:eastAsia="宋体" w:cs="宋体"/>
                <w:color w:val="auto"/>
                <w:sz w:val="32"/>
                <w:szCs w:val="32"/>
              </w:rPr>
            </w:pPr>
            <w:r>
              <w:rPr>
                <w:rFonts w:hint="eastAsia" w:ascii="宋体" w:hAnsi="宋体" w:eastAsia="宋体" w:cs="宋体"/>
                <w:color w:val="auto"/>
                <w:sz w:val="32"/>
                <w:szCs w:val="32"/>
              </w:rPr>
              <w:t>（2）评标基准价=有效投标报价的最低价。</w:t>
            </w:r>
          </w:p>
          <w:p>
            <w:pPr>
              <w:autoSpaceDE w:val="0"/>
              <w:autoSpaceDN w:val="0"/>
              <w:adjustRightInd w:val="0"/>
              <w:snapToGrid w:val="0"/>
              <w:jc w:val="left"/>
              <w:rPr>
                <w:rFonts w:hint="eastAsia" w:ascii="宋体" w:hAnsi="宋体" w:eastAsia="宋体" w:cs="宋体"/>
                <w:color w:val="auto"/>
                <w:sz w:val="32"/>
                <w:szCs w:val="32"/>
              </w:rPr>
            </w:pPr>
            <w:r>
              <w:rPr>
                <w:rFonts w:hint="eastAsia" w:ascii="宋体" w:hAnsi="宋体" w:eastAsia="宋体" w:cs="宋体"/>
                <w:color w:val="auto"/>
                <w:sz w:val="32"/>
                <w:szCs w:val="32"/>
              </w:rPr>
              <w:t>（3）当投标人的有效投标报价等于评标基准价的，得3</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分。</w:t>
            </w:r>
          </w:p>
          <w:p>
            <w:pPr>
              <w:autoSpaceDE w:val="0"/>
              <w:autoSpaceDN w:val="0"/>
              <w:adjustRightInd w:val="0"/>
              <w:snapToGrid w:val="0"/>
              <w:jc w:val="left"/>
              <w:rPr>
                <w:rFonts w:hint="eastAsia" w:ascii="宋体" w:hAnsi="宋体" w:eastAsia="宋体" w:cs="宋体"/>
                <w:color w:val="auto"/>
                <w:sz w:val="32"/>
                <w:szCs w:val="32"/>
              </w:rPr>
            </w:pPr>
            <w:r>
              <w:rPr>
                <w:rFonts w:hint="eastAsia" w:ascii="宋体" w:hAnsi="宋体" w:eastAsia="宋体" w:cs="宋体"/>
                <w:color w:val="auto"/>
                <w:sz w:val="32"/>
                <w:szCs w:val="32"/>
              </w:rPr>
              <w:t>（4）其他投标人的价格分统一按照下列公式计算：</w:t>
            </w:r>
          </w:p>
          <w:p>
            <w:pPr>
              <w:pStyle w:val="16"/>
              <w:tabs>
                <w:tab w:val="left" w:pos="360"/>
                <w:tab w:val="left" w:pos="960"/>
              </w:tabs>
              <w:spacing w:before="0" w:beforeAutospacing="0" w:after="0" w:afterAutospacing="0" w:line="320" w:lineRule="exact"/>
              <w:ind w:firstLine="707" w:firstLineChars="221"/>
              <w:rPr>
                <w:rFonts w:hint="eastAsia" w:ascii="宋体" w:hAnsi="宋体" w:eastAsia="宋体" w:cs="宋体"/>
                <w:color w:val="auto"/>
                <w:sz w:val="32"/>
                <w:szCs w:val="32"/>
              </w:rPr>
            </w:pPr>
            <w:r>
              <w:rPr>
                <w:rFonts w:hint="eastAsia" w:ascii="宋体" w:hAnsi="宋体" w:eastAsia="宋体" w:cs="宋体"/>
                <w:color w:val="auto"/>
                <w:sz w:val="32"/>
                <w:szCs w:val="32"/>
              </w:rPr>
              <w:t>投标报价得分=(评标基准价／投标报价)×3</w:t>
            </w:r>
            <w:r>
              <w:rPr>
                <w:rFonts w:hint="eastAsia" w:eastAsia="宋体" w:cs="宋体"/>
                <w:color w:val="auto"/>
                <w:sz w:val="32"/>
                <w:szCs w:val="32"/>
                <w:lang w:val="en-US" w:eastAsia="zh-CN"/>
              </w:rPr>
              <w:t>0</w:t>
            </w:r>
            <w:r>
              <w:rPr>
                <w:rFonts w:hint="eastAsia" w:ascii="宋体" w:hAnsi="宋体" w:eastAsia="宋体" w:cs="宋体"/>
                <w:color w:val="auto"/>
                <w:sz w:val="32"/>
                <w:szCs w:val="32"/>
              </w:rPr>
              <w:t>。</w:t>
            </w:r>
          </w:p>
        </w:tc>
      </w:tr>
    </w:tbl>
    <w:p>
      <w:pPr>
        <w:adjustRightInd w:val="0"/>
        <w:snapToGrid w:val="0"/>
        <w:spacing w:line="480" w:lineRule="exact"/>
        <w:ind w:firstLine="640" w:firstLineChars="200"/>
        <w:outlineLvl w:val="2"/>
        <w:rPr>
          <w:rFonts w:hint="eastAsia" w:ascii="宋体" w:hAnsi="宋体" w:eastAsia="宋体" w:cs="宋体"/>
          <w:sz w:val="32"/>
          <w:szCs w:val="32"/>
        </w:rPr>
      </w:pPr>
    </w:p>
    <w:p>
      <w:pPr>
        <w:snapToGrid w:val="0"/>
        <w:spacing w:line="480" w:lineRule="exact"/>
        <w:ind w:firstLine="57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二</w:t>
      </w:r>
      <w:r>
        <w:rPr>
          <w:rFonts w:hint="eastAsia" w:ascii="宋体" w:hAnsi="宋体" w:eastAsia="宋体" w:cs="宋体"/>
          <w:sz w:val="32"/>
          <w:szCs w:val="32"/>
        </w:rPr>
        <w:t>）评审争议</w:t>
      </w:r>
    </w:p>
    <w:p>
      <w:pPr>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评标时评委对评标的细则若有争议，由评标小组各评委集体讨论确定，并对未尽情况有最终解释权。</w:t>
      </w:r>
    </w:p>
    <w:p>
      <w:pPr>
        <w:adjustRightInd w:val="0"/>
        <w:snapToGrid w:val="0"/>
        <w:spacing w:line="480" w:lineRule="exact"/>
        <w:ind w:firstLine="640" w:firstLineChars="200"/>
        <w:outlineLvl w:val="2"/>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三</w:t>
      </w:r>
      <w:r>
        <w:rPr>
          <w:rFonts w:hint="eastAsia" w:ascii="宋体" w:hAnsi="宋体" w:eastAsia="宋体" w:cs="宋体"/>
          <w:sz w:val="32"/>
          <w:szCs w:val="32"/>
        </w:rPr>
        <w:t>）评审结果解释</w:t>
      </w:r>
    </w:p>
    <w:p>
      <w:pPr>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对落标的供应商不做落标原因的解释。</w:t>
      </w:r>
    </w:p>
    <w:p>
      <w:pPr>
        <w:snapToGrid w:val="0"/>
        <w:spacing w:line="480" w:lineRule="exact"/>
        <w:ind w:firstLine="641" w:firstLineChars="200"/>
        <w:outlineLvl w:val="1"/>
        <w:rPr>
          <w:rFonts w:hint="eastAsia" w:ascii="宋体" w:hAnsi="宋体" w:eastAsia="宋体" w:cs="宋体"/>
          <w:b/>
          <w:sz w:val="32"/>
          <w:szCs w:val="32"/>
        </w:rPr>
      </w:pPr>
      <w:bookmarkStart w:id="6" w:name="_Toc13543213"/>
      <w:r>
        <w:rPr>
          <w:rFonts w:hint="eastAsia" w:ascii="宋体" w:hAnsi="宋体" w:eastAsia="宋体" w:cs="宋体"/>
          <w:b/>
          <w:sz w:val="32"/>
          <w:szCs w:val="32"/>
        </w:rPr>
        <w:t>六、评审程序</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1、评标小组依据响应文件的规定和要求，对供应商提供的资格证明材料是否齐全、是否满足响应文件的要求进行审查，合格的进入评标。</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2、评标小组对符合资格条件的供应商提交的响应文件进行审查。重点审查响应文件的有效性、完整性和实质性响应程度等。</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评标小组如遇响应文件中含义不明确、同类问题表述不一致或者有明显文字和计算错误的内容，可向供应商质询。供应商的澄清、说明或者补正，应当采用书面形式由供应商代表签字，但不得超出比选文件的范围或者改变其实质性内容。</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4、投标中的任何一方不得透露与评标有关的其他供应商技术资料、报价和其他信息。比选文件有实质性变动的，评标小组应以书面形式通知所有供应商。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5、评标小组按比选文件规定的评标方法和标准，对资格性检查和符合性检查合格的供应商的响应文件进行商务和技术评估，综合比较与评价确定其商务技术得分。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6、评标小组依据技术标评审得分确定入围商务报价的供应商后，根据供应商的报价，结合其技术标评审得分后为综合得分，并由高到低顺序排列，综合得分最高的确定成交人，并将结果通知所有供应商。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7、确定成交人:得分最高的供应商为第一成交候选人。第一成交候选人原则上为成交人。当排名第一的成交候选人放弃成交、因不可抗力不能履行合同、不按照比选文件要求提交履约保证金，或者被查实存在影响成交结果的违法行为等情形，不符合成交条件的，采购人可以按照评标委员会提出的成交候选人名单排序依次确定其他成交候选人为成交人，也可以重新组织比选。</w:t>
      </w:r>
      <w:r>
        <w:rPr>
          <w:rFonts w:hint="eastAsia" w:ascii="宋体" w:hAnsi="宋体" w:eastAsia="宋体" w:cs="宋体"/>
          <w:b/>
          <w:bCs/>
          <w:sz w:val="32"/>
          <w:szCs w:val="32"/>
        </w:rPr>
        <w:t>注：采</w:t>
      </w:r>
      <w:r>
        <w:rPr>
          <w:rFonts w:hint="eastAsia" w:ascii="宋体" w:hAnsi="宋体" w:eastAsia="宋体" w:cs="宋体"/>
          <w:sz w:val="32"/>
          <w:szCs w:val="32"/>
        </w:rPr>
        <w:t>用综合评分法综合得分相同的，按投标报价由低到高顺序排列。综合得分且投标报价相同的，按技术指标优劣顺序排列。</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七、出现下列情形之一的，作无效投标处理</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1、响应文件未按规定要求装订、密封、签署、盖章及主要资料不齐全的；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2、响应文件的资料有虚报或者谎报的；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3、响应文件技术部分出现谈判价格的内容；</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4、不具备比选文件规定的资格要求的；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5、响应文件有重大漏项或重大不合理的；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6、项目技术、方案不满足用户需求中的要求，有重大偏离或保留的；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7、投标报价超出项目预算的；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8、被认定为低于成本报价竞标的；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9、不符合法律、法规和比选文件中规定的其他实质性响应要求的；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10、评审小组可以认定为其他可构成未实质性响应比选文件要求的。</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八、出现下列情形之一的，作废标处理</w:t>
      </w:r>
    </w:p>
    <w:p>
      <w:pPr>
        <w:snapToGrid w:val="0"/>
        <w:spacing w:line="480" w:lineRule="exact"/>
        <w:ind w:firstLine="640" w:firstLineChars="200"/>
        <w:rPr>
          <w:rFonts w:hint="eastAsia" w:ascii="宋体" w:hAnsi="宋体" w:eastAsia="宋体" w:cs="宋体"/>
          <w:b/>
          <w:color w:val="FF0000"/>
          <w:sz w:val="32"/>
          <w:szCs w:val="32"/>
        </w:rPr>
      </w:pPr>
      <w:r>
        <w:rPr>
          <w:rFonts w:hint="eastAsia" w:ascii="宋体" w:hAnsi="宋体" w:eastAsia="宋体" w:cs="宋体"/>
          <w:sz w:val="32"/>
          <w:szCs w:val="32"/>
        </w:rPr>
        <w:t>1、符合资格条件或者对比选文件作实质响应的供应商不足3家的；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2、出现影响采购公正的违法违规行为的；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3、所有供应商报价超出采购预算价的；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4、因重大变故，采购任务被取消的；</w:t>
      </w:r>
    </w:p>
    <w:p>
      <w:pPr>
        <w:snapToGrid w:val="0"/>
        <w:spacing w:line="480" w:lineRule="exact"/>
        <w:ind w:firstLine="640" w:firstLineChars="200"/>
        <w:rPr>
          <w:rFonts w:hint="eastAsia" w:ascii="宋体" w:hAnsi="宋体" w:eastAsia="宋体" w:cs="宋体"/>
          <w:color w:val="FF0000"/>
          <w:sz w:val="32"/>
          <w:szCs w:val="32"/>
        </w:rPr>
      </w:pPr>
      <w:r>
        <w:rPr>
          <w:rFonts w:hint="eastAsia" w:ascii="宋体" w:hAnsi="宋体" w:eastAsia="宋体" w:cs="宋体"/>
          <w:sz w:val="32"/>
          <w:szCs w:val="32"/>
        </w:rPr>
        <w:t>5、评标小组依据法律法规可以认定为废标的其他情况。</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九、成交通知</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1、开标结束后，采购人将</w:t>
      </w:r>
      <w:r>
        <w:rPr>
          <w:rFonts w:hint="eastAsia" w:ascii="宋体" w:hAnsi="宋体" w:eastAsia="宋体" w:cs="宋体"/>
          <w:sz w:val="32"/>
          <w:szCs w:val="32"/>
        </w:rPr>
        <w:t>成交</w:t>
      </w:r>
      <w:r>
        <w:rPr>
          <w:rFonts w:hint="eastAsia" w:ascii="宋体" w:hAnsi="宋体" w:eastAsia="宋体" w:cs="宋体"/>
          <w:kern w:val="0"/>
          <w:sz w:val="32"/>
          <w:szCs w:val="32"/>
        </w:rPr>
        <w:t>结果在</w:t>
      </w:r>
      <w:r>
        <w:rPr>
          <w:rFonts w:hint="eastAsia" w:ascii="宋体" w:hAnsi="宋体" w:eastAsia="宋体" w:cs="宋体"/>
          <w:bCs/>
          <w:sz w:val="32"/>
          <w:szCs w:val="32"/>
        </w:rPr>
        <w:t>南通科技职业学院官网</w:t>
      </w:r>
      <w:r>
        <w:rPr>
          <w:rFonts w:hint="eastAsia" w:ascii="宋体" w:hAnsi="宋体" w:eastAsia="宋体" w:cs="宋体"/>
          <w:kern w:val="0"/>
          <w:sz w:val="32"/>
          <w:szCs w:val="32"/>
        </w:rPr>
        <w:t>公告1个工作日，同时向成交人发出《</w:t>
      </w:r>
      <w:r>
        <w:rPr>
          <w:rFonts w:hint="eastAsia" w:ascii="宋体" w:hAnsi="宋体" w:eastAsia="宋体" w:cs="宋体"/>
          <w:sz w:val="32"/>
          <w:szCs w:val="32"/>
        </w:rPr>
        <w:t>成交</w:t>
      </w:r>
      <w:r>
        <w:rPr>
          <w:rFonts w:hint="eastAsia" w:ascii="宋体" w:hAnsi="宋体" w:eastAsia="宋体" w:cs="宋体"/>
          <w:kern w:val="0"/>
          <w:sz w:val="32"/>
          <w:szCs w:val="32"/>
        </w:rPr>
        <w:t>通知书》。</w:t>
      </w:r>
    </w:p>
    <w:p>
      <w:pPr>
        <w:spacing w:line="480" w:lineRule="exact"/>
        <w:ind w:firstLine="646" w:firstLineChars="202"/>
        <w:rPr>
          <w:rFonts w:hint="eastAsia" w:ascii="宋体" w:hAnsi="宋体" w:eastAsia="宋体" w:cs="宋体"/>
          <w:b/>
          <w:kern w:val="0"/>
          <w:sz w:val="32"/>
          <w:szCs w:val="32"/>
        </w:rPr>
      </w:pPr>
      <w:r>
        <w:rPr>
          <w:rFonts w:hint="eastAsia" w:ascii="宋体" w:hAnsi="宋体" w:eastAsia="宋体" w:cs="宋体"/>
          <w:kern w:val="0"/>
          <w:sz w:val="32"/>
          <w:szCs w:val="32"/>
        </w:rPr>
        <w:t>2、《</w:t>
      </w:r>
      <w:r>
        <w:rPr>
          <w:rFonts w:hint="eastAsia" w:ascii="宋体" w:hAnsi="宋体" w:eastAsia="宋体" w:cs="宋体"/>
          <w:sz w:val="32"/>
          <w:szCs w:val="32"/>
        </w:rPr>
        <w:t>成交</w:t>
      </w:r>
      <w:r>
        <w:rPr>
          <w:rFonts w:hint="eastAsia" w:ascii="宋体" w:hAnsi="宋体" w:eastAsia="宋体" w:cs="宋体"/>
          <w:kern w:val="0"/>
          <w:sz w:val="32"/>
          <w:szCs w:val="32"/>
        </w:rPr>
        <w:t>通知书》一经发出，即具有法律效力。采购人、成交人依法承担法律责任。</w:t>
      </w:r>
    </w:p>
    <w:bookmarkEnd w:id="6"/>
    <w:p>
      <w:pPr>
        <w:tabs>
          <w:tab w:val="left" w:pos="1050"/>
          <w:tab w:val="right" w:leader="dot" w:pos="9402"/>
        </w:tabs>
        <w:spacing w:before="570" w:beforeLines="150" w:line="480" w:lineRule="exact"/>
        <w:jc w:val="center"/>
        <w:outlineLvl w:val="0"/>
        <w:rPr>
          <w:rFonts w:hint="eastAsia" w:ascii="宋体" w:hAnsi="宋体" w:eastAsia="宋体" w:cs="宋体"/>
          <w:b/>
          <w:w w:val="80"/>
          <w:sz w:val="32"/>
          <w:szCs w:val="32"/>
        </w:rPr>
      </w:pPr>
      <w:bookmarkStart w:id="7" w:name="_Toc363573857"/>
    </w:p>
    <w:p>
      <w:pPr>
        <w:spacing w:line="480" w:lineRule="exact"/>
        <w:rPr>
          <w:rFonts w:hint="eastAsia" w:ascii="宋体" w:hAnsi="宋体" w:eastAsia="宋体" w:cs="宋体"/>
          <w:b/>
          <w:w w:val="80"/>
          <w:sz w:val="32"/>
          <w:szCs w:val="32"/>
        </w:rPr>
      </w:pPr>
      <w:r>
        <w:rPr>
          <w:rFonts w:hint="eastAsia" w:ascii="宋体" w:hAnsi="宋体" w:eastAsia="宋体" w:cs="宋体"/>
          <w:b/>
          <w:w w:val="80"/>
          <w:sz w:val="32"/>
          <w:szCs w:val="32"/>
        </w:rPr>
        <w:br w:type="page"/>
      </w:r>
    </w:p>
    <w:p>
      <w:pPr>
        <w:spacing w:line="480" w:lineRule="exact"/>
        <w:jc w:val="center"/>
        <w:rPr>
          <w:rFonts w:hint="eastAsia" w:ascii="宋体" w:hAnsi="宋体" w:eastAsia="宋体" w:cs="宋体"/>
          <w:b/>
          <w:w w:val="80"/>
          <w:sz w:val="32"/>
          <w:szCs w:val="32"/>
        </w:rPr>
      </w:pPr>
      <w:r>
        <w:rPr>
          <w:rFonts w:hint="eastAsia" w:ascii="宋体" w:hAnsi="宋体" w:eastAsia="宋体" w:cs="宋体"/>
          <w:b/>
          <w:w w:val="80"/>
          <w:sz w:val="32"/>
          <w:szCs w:val="32"/>
        </w:rPr>
        <w:t>第五章  合同授予</w:t>
      </w:r>
      <w:bookmarkEnd w:id="7"/>
    </w:p>
    <w:p>
      <w:pPr>
        <w:spacing w:line="480" w:lineRule="exact"/>
        <w:ind w:firstLine="646" w:firstLineChars="202"/>
        <w:rPr>
          <w:rFonts w:hint="eastAsia" w:ascii="宋体" w:hAnsi="宋体" w:eastAsia="宋体" w:cs="宋体"/>
          <w:kern w:val="0"/>
          <w:sz w:val="32"/>
          <w:szCs w:val="32"/>
        </w:rPr>
      </w:pPr>
      <w:bookmarkStart w:id="8" w:name="_Toc94585343"/>
      <w:bookmarkStart w:id="9" w:name="_Toc363573858"/>
      <w:r>
        <w:rPr>
          <w:rFonts w:hint="eastAsia" w:ascii="宋体" w:hAnsi="宋体" w:eastAsia="宋体" w:cs="宋体"/>
          <w:kern w:val="0"/>
          <w:sz w:val="32"/>
          <w:szCs w:val="32"/>
        </w:rPr>
        <w:t>1、成交人在接到代理机构发出的《成交通知书》后</w:t>
      </w:r>
      <w:r>
        <w:rPr>
          <w:rFonts w:hint="eastAsia" w:ascii="宋体" w:hAnsi="宋体" w:eastAsia="宋体" w:cs="宋体"/>
          <w:kern w:val="0"/>
          <w:sz w:val="32"/>
          <w:szCs w:val="32"/>
          <w:lang w:val="en-US" w:eastAsia="zh-CN"/>
        </w:rPr>
        <w:t>7个工作</w:t>
      </w:r>
      <w:r>
        <w:rPr>
          <w:rFonts w:hint="eastAsia" w:ascii="宋体" w:hAnsi="宋体" w:eastAsia="宋体" w:cs="宋体"/>
          <w:kern w:val="0"/>
          <w:sz w:val="32"/>
          <w:szCs w:val="32"/>
        </w:rPr>
        <w:t>日内与采购人签订采购合同（一式肆份，采购人、成交人各执两份），所签合同不得对响应文件内容作实质性修改，由此给采购人造成损失的，成交人还应承担赔偿责任。采购人不得向成交人提出不合理的要求作为签订合同的条件，不得与成交人私下订立背离比选文件实质性内容的协议。</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2、比选文件、成交人的响应文件及招标评审过程中有关书面澄清、承诺等均应作为合同附件，具有同等的法律效力。</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3、成交人不得采用转包、分包的形式履行合同，否则，采购人有权终止合同，造成采购人损失的，成交人应承担相应赔偿责任。</w:t>
      </w:r>
    </w:p>
    <w:p>
      <w:pPr>
        <w:spacing w:line="480" w:lineRule="exact"/>
        <w:rPr>
          <w:rFonts w:hint="eastAsia" w:ascii="宋体" w:hAnsi="宋体" w:eastAsia="宋体" w:cs="宋体"/>
          <w:b/>
          <w:w w:val="80"/>
          <w:sz w:val="32"/>
          <w:szCs w:val="32"/>
        </w:rPr>
      </w:pPr>
      <w:r>
        <w:rPr>
          <w:rFonts w:hint="eastAsia" w:ascii="宋体" w:hAnsi="宋体" w:eastAsia="宋体" w:cs="宋体"/>
          <w:b/>
          <w:w w:val="80"/>
          <w:sz w:val="32"/>
          <w:szCs w:val="32"/>
        </w:rPr>
        <w:br w:type="page"/>
      </w:r>
    </w:p>
    <w:p>
      <w:pPr>
        <w:tabs>
          <w:tab w:val="left" w:pos="1050"/>
          <w:tab w:val="right" w:leader="dot" w:pos="9402"/>
        </w:tabs>
        <w:spacing w:before="570" w:beforeLines="150" w:line="480" w:lineRule="exact"/>
        <w:jc w:val="center"/>
        <w:outlineLvl w:val="0"/>
        <w:rPr>
          <w:rFonts w:hint="eastAsia" w:ascii="宋体" w:hAnsi="宋体" w:eastAsia="宋体" w:cs="宋体"/>
          <w:b/>
          <w:w w:val="80"/>
          <w:sz w:val="32"/>
          <w:szCs w:val="32"/>
        </w:rPr>
      </w:pPr>
      <w:r>
        <w:rPr>
          <w:rFonts w:hint="eastAsia" w:ascii="宋体" w:hAnsi="宋体" w:eastAsia="宋体" w:cs="宋体"/>
          <w:b/>
          <w:w w:val="80"/>
          <w:sz w:val="32"/>
          <w:szCs w:val="32"/>
        </w:rPr>
        <w:t>第六章</w:t>
      </w:r>
      <w:bookmarkEnd w:id="8"/>
      <w:bookmarkEnd w:id="9"/>
      <w:bookmarkStart w:id="10" w:name="_Toc363573860"/>
      <w:r>
        <w:rPr>
          <w:rFonts w:hint="eastAsia" w:ascii="宋体" w:hAnsi="宋体" w:eastAsia="宋体" w:cs="宋体"/>
          <w:b/>
          <w:w w:val="80"/>
          <w:sz w:val="32"/>
          <w:szCs w:val="32"/>
        </w:rPr>
        <w:t xml:space="preserve">  响应文件格式</w:t>
      </w:r>
      <w:bookmarkEnd w:id="10"/>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一、响应文件目录</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A、资格后审资料文件</w:t>
      </w:r>
      <w:r>
        <w:rPr>
          <w:rFonts w:hint="eastAsia" w:ascii="宋体" w:hAnsi="宋体" w:eastAsia="宋体" w:cs="宋体"/>
          <w:sz w:val="32"/>
          <w:szCs w:val="32"/>
        </w:rPr>
        <w:t>（一个密封包，含一正两副文件）</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B、技术标响应文件</w:t>
      </w:r>
      <w:r>
        <w:rPr>
          <w:rFonts w:hint="eastAsia" w:ascii="宋体" w:hAnsi="宋体" w:eastAsia="宋体" w:cs="宋体"/>
          <w:sz w:val="32"/>
          <w:szCs w:val="32"/>
        </w:rPr>
        <w:t>（一个密封包，含一正两副文件）</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C、商务标响应文件</w:t>
      </w:r>
      <w:r>
        <w:rPr>
          <w:rFonts w:hint="eastAsia" w:ascii="宋体" w:hAnsi="宋体" w:eastAsia="宋体" w:cs="宋体"/>
          <w:sz w:val="32"/>
          <w:szCs w:val="32"/>
        </w:rPr>
        <w:t>（一个密封包，含一正两副文件）</w:t>
      </w:r>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二、响应文件封面范例</w:t>
      </w:r>
    </w:p>
    <w:tbl>
      <w:tblPr>
        <w:tblStyle w:val="18"/>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4" w:hRule="atLeast"/>
          <w:jc w:val="center"/>
        </w:trPr>
        <w:tc>
          <w:tcPr>
            <w:tcW w:w="8790" w:type="dxa"/>
            <w:shd w:val="clear" w:color="auto" w:fill="auto"/>
          </w:tcPr>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项目名称：</w:t>
            </w:r>
          </w:p>
          <w:p>
            <w:pPr>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w:t>
            </w:r>
          </w:p>
          <w:p>
            <w:pPr>
              <w:spacing w:line="480" w:lineRule="exact"/>
              <w:ind w:firstLine="3840" w:firstLineChars="1200"/>
              <w:jc w:val="left"/>
              <w:rPr>
                <w:rFonts w:hint="eastAsia" w:ascii="宋体" w:hAnsi="宋体" w:eastAsia="宋体" w:cs="宋体"/>
                <w:kern w:val="0"/>
                <w:sz w:val="32"/>
                <w:szCs w:val="32"/>
              </w:rPr>
            </w:pPr>
            <w:r>
              <w:rPr>
                <w:rFonts w:hint="eastAsia" w:ascii="宋体" w:hAnsi="宋体" w:eastAsia="宋体" w:cs="宋体"/>
                <w:kern w:val="0"/>
                <w:sz w:val="32"/>
                <w:szCs w:val="32"/>
              </w:rPr>
              <w:t>对应填写：资格后审材料文件</w:t>
            </w:r>
          </w:p>
          <w:p>
            <w:pPr>
              <w:spacing w:line="480" w:lineRule="exact"/>
              <w:ind w:firstLine="5440" w:firstLineChars="1700"/>
              <w:jc w:val="left"/>
              <w:rPr>
                <w:rFonts w:hint="eastAsia" w:ascii="宋体" w:hAnsi="宋体" w:eastAsia="宋体" w:cs="宋体"/>
                <w:kern w:val="0"/>
                <w:sz w:val="32"/>
                <w:szCs w:val="32"/>
              </w:rPr>
            </w:pPr>
            <w:r>
              <w:rPr>
                <w:rFonts w:hint="eastAsia" w:ascii="宋体" w:hAnsi="宋体" w:eastAsia="宋体" w:cs="宋体"/>
                <w:kern w:val="0"/>
                <w:sz w:val="32"/>
                <w:szCs w:val="32"/>
              </w:rPr>
              <w:t>技术标响应文件</w:t>
            </w:r>
          </w:p>
          <w:p>
            <w:pPr>
              <w:spacing w:line="480" w:lineRule="exact"/>
              <w:ind w:firstLine="5440" w:firstLineChars="1700"/>
              <w:rPr>
                <w:rFonts w:hint="eastAsia" w:ascii="宋体" w:hAnsi="宋体" w:eastAsia="宋体" w:cs="宋体"/>
                <w:kern w:val="0"/>
                <w:sz w:val="32"/>
                <w:szCs w:val="32"/>
              </w:rPr>
            </w:pPr>
            <w:r>
              <w:rPr>
                <w:rFonts w:hint="eastAsia" w:ascii="宋体" w:hAnsi="宋体" w:eastAsia="宋体" w:cs="宋体"/>
                <w:kern w:val="0"/>
                <w:sz w:val="32"/>
                <w:szCs w:val="32"/>
              </w:rPr>
              <w:t>商务报价标响应文件</w:t>
            </w:r>
          </w:p>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（资格后审）</w:t>
            </w:r>
          </w:p>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供应商：响应供应商全称</w:t>
            </w:r>
          </w:p>
          <w:p>
            <w:pPr>
              <w:spacing w:line="480" w:lineRule="exact"/>
              <w:jc w:val="center"/>
              <w:rPr>
                <w:rFonts w:hint="eastAsia" w:ascii="宋体" w:hAnsi="宋体" w:eastAsia="宋体" w:cs="宋体"/>
                <w:sz w:val="32"/>
                <w:szCs w:val="32"/>
              </w:rPr>
            </w:pPr>
            <w:r>
              <w:rPr>
                <w:rFonts w:hint="eastAsia" w:ascii="宋体" w:hAnsi="宋体" w:eastAsia="宋体" w:cs="宋体"/>
                <w:kern w:val="0"/>
                <w:sz w:val="32"/>
                <w:szCs w:val="32"/>
              </w:rPr>
              <w:t>二○二三年 月 日</w:t>
            </w:r>
          </w:p>
        </w:tc>
      </w:tr>
    </w:tbl>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三、响应文件</w:t>
      </w:r>
    </w:p>
    <w:p>
      <w:pPr>
        <w:adjustRightInd w:val="0"/>
        <w:snapToGrid w:val="0"/>
        <w:spacing w:line="480" w:lineRule="exact"/>
        <w:outlineLvl w:val="2"/>
        <w:rPr>
          <w:rFonts w:hint="eastAsia" w:ascii="宋体" w:hAnsi="宋体" w:eastAsia="宋体" w:cs="宋体"/>
          <w:b/>
          <w:sz w:val="32"/>
          <w:szCs w:val="32"/>
        </w:rPr>
      </w:pPr>
      <w:r>
        <w:rPr>
          <w:rFonts w:hint="eastAsia" w:ascii="宋体" w:hAnsi="宋体" w:eastAsia="宋体" w:cs="宋体"/>
          <w:b/>
          <w:kern w:val="0"/>
          <w:sz w:val="32"/>
          <w:szCs w:val="32"/>
        </w:rPr>
        <w:t>A、</w:t>
      </w:r>
      <w:r>
        <w:rPr>
          <w:rFonts w:hint="eastAsia" w:ascii="宋体" w:hAnsi="宋体" w:eastAsia="宋体" w:cs="宋体"/>
          <w:b/>
          <w:sz w:val="32"/>
          <w:szCs w:val="32"/>
        </w:rPr>
        <w:t>资格后审材料文件</w:t>
      </w:r>
      <w:r>
        <w:rPr>
          <w:rFonts w:hint="eastAsia" w:ascii="宋体" w:hAnsi="宋体" w:eastAsia="宋体" w:cs="宋体"/>
          <w:sz w:val="32"/>
          <w:szCs w:val="32"/>
        </w:rPr>
        <w:t>（一个密封包，含一正两副文件）</w:t>
      </w:r>
    </w:p>
    <w:p>
      <w:pPr>
        <w:adjustRightInd w:val="0"/>
        <w:snapToGrid w:val="0"/>
        <w:spacing w:line="480" w:lineRule="exact"/>
        <w:outlineLvl w:val="2"/>
        <w:rPr>
          <w:rFonts w:hint="eastAsia" w:ascii="宋体" w:hAnsi="宋体" w:eastAsia="宋体" w:cs="宋体"/>
          <w:sz w:val="32"/>
          <w:szCs w:val="32"/>
        </w:rPr>
      </w:pPr>
      <w:r>
        <w:rPr>
          <w:rFonts w:hint="eastAsia" w:ascii="宋体" w:hAnsi="宋体" w:eastAsia="宋体" w:cs="宋体"/>
          <w:sz w:val="32"/>
          <w:szCs w:val="32"/>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pPr>
        <w:spacing w:line="480" w:lineRule="exac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adjustRightInd w:val="0"/>
        <w:snapToGrid w:val="0"/>
        <w:spacing w:line="480" w:lineRule="exact"/>
        <w:outlineLvl w:val="3"/>
        <w:rPr>
          <w:rFonts w:hint="eastAsia" w:ascii="宋体" w:hAnsi="宋体" w:eastAsia="宋体" w:cs="宋体"/>
          <w:b/>
          <w:kern w:val="0"/>
          <w:sz w:val="32"/>
          <w:szCs w:val="32"/>
        </w:rPr>
      </w:pPr>
      <w:r>
        <w:rPr>
          <w:rFonts w:hint="eastAsia" w:ascii="宋体" w:hAnsi="宋体" w:eastAsia="宋体" w:cs="宋体"/>
          <w:b/>
          <w:kern w:val="0"/>
          <w:sz w:val="32"/>
          <w:szCs w:val="32"/>
        </w:rPr>
        <w:t>A.1、资格后审材料文件相关的格式文件及表格</w:t>
      </w:r>
    </w:p>
    <w:p>
      <w:pPr>
        <w:spacing w:line="480" w:lineRule="exact"/>
        <w:rPr>
          <w:rFonts w:hint="eastAsia" w:ascii="宋体" w:hAnsi="宋体" w:eastAsia="宋体" w:cs="宋体"/>
          <w:b/>
          <w:bCs/>
          <w:sz w:val="32"/>
          <w:szCs w:val="32"/>
        </w:rPr>
      </w:pPr>
    </w:p>
    <w:p>
      <w:pPr>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1.关于资格的响应函</w:t>
      </w:r>
    </w:p>
    <w:p>
      <w:pPr>
        <w:spacing w:line="480" w:lineRule="exact"/>
        <w:rPr>
          <w:rFonts w:hint="eastAsia" w:ascii="宋体" w:hAnsi="宋体" w:eastAsia="宋体" w:cs="宋体"/>
          <w:sz w:val="32"/>
          <w:szCs w:val="32"/>
        </w:rPr>
      </w:pPr>
      <w:r>
        <w:rPr>
          <w:rFonts w:hint="eastAsia" w:ascii="宋体" w:hAnsi="宋体" w:eastAsia="宋体" w:cs="宋体"/>
          <w:sz w:val="32"/>
          <w:szCs w:val="32"/>
        </w:rPr>
        <w:t>致：南通科技职业学院：</w:t>
      </w:r>
    </w:p>
    <w:p>
      <w:pPr>
        <w:spacing w:line="480" w:lineRule="exact"/>
        <w:ind w:firstLine="640" w:firstLineChars="200"/>
        <w:rPr>
          <w:rFonts w:hint="eastAsia" w:ascii="宋体" w:hAnsi="宋体" w:eastAsia="宋体" w:cs="宋体"/>
          <w:bCs/>
          <w:color w:val="000000"/>
          <w:sz w:val="32"/>
          <w:szCs w:val="32"/>
        </w:rPr>
      </w:pPr>
    </w:p>
    <w:p>
      <w:pPr>
        <w:spacing w:line="480" w:lineRule="exact"/>
        <w:ind w:firstLine="640" w:firstLineChars="200"/>
        <w:rPr>
          <w:rFonts w:hint="eastAsia" w:ascii="宋体" w:hAnsi="宋体" w:eastAsia="宋体" w:cs="宋体"/>
          <w:b/>
          <w:bCs/>
          <w:color w:val="000000"/>
          <w:sz w:val="32"/>
          <w:szCs w:val="32"/>
        </w:rPr>
      </w:pPr>
      <w:r>
        <w:rPr>
          <w:rFonts w:hint="eastAsia" w:ascii="宋体" w:hAnsi="宋体" w:eastAsia="宋体" w:cs="宋体"/>
          <w:bCs/>
          <w:color w:val="000000"/>
          <w:sz w:val="32"/>
          <w:szCs w:val="32"/>
        </w:rPr>
        <w:t>我单位参加（项目名称），（项目编号）采购活动。针对以下规定做出如下声明：</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bCs/>
          <w:color w:val="000000"/>
          <w:sz w:val="32"/>
          <w:szCs w:val="32"/>
        </w:rPr>
        <w:t>1.我单位具有独立承担民事责任的能力；</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2.我单位具有良好的商业信誉和健全的财务会计制度；</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3.我单位具有履行合同所必需的设备和专业技术能力；</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4.我单位有依法缴纳税收和社会保障资金的良好记录。</w:t>
      </w:r>
    </w:p>
    <w:p>
      <w:pPr>
        <w:spacing w:line="480" w:lineRule="exact"/>
        <w:ind w:firstLine="435"/>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pStyle w:val="15"/>
        <w:spacing w:line="480" w:lineRule="exact"/>
        <w:rPr>
          <w:rFonts w:hint="eastAsia" w:ascii="宋体" w:hAnsi="宋体" w:eastAsia="宋体" w:cs="宋体"/>
          <w:sz w:val="32"/>
          <w:szCs w:val="32"/>
        </w:rPr>
      </w:pPr>
    </w:p>
    <w:p>
      <w:pPr>
        <w:pStyle w:val="15"/>
        <w:spacing w:line="480" w:lineRule="exact"/>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供应商全称：</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公      章：</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授 权 代表：</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日      期：</w:t>
      </w:r>
    </w:p>
    <w:p>
      <w:pPr>
        <w:spacing w:line="480" w:lineRule="exact"/>
        <w:ind w:firstLine="435"/>
        <w:rPr>
          <w:rFonts w:hint="eastAsia" w:ascii="宋体" w:hAnsi="宋体" w:eastAsia="宋体" w:cs="宋体"/>
          <w:b/>
          <w:sz w:val="32"/>
          <w:szCs w:val="32"/>
        </w:rPr>
      </w:pPr>
    </w:p>
    <w:p>
      <w:pPr>
        <w:spacing w:line="480" w:lineRule="exact"/>
        <w:jc w:val="center"/>
        <w:rPr>
          <w:rFonts w:hint="eastAsia" w:ascii="宋体" w:hAnsi="宋体" w:eastAsia="宋体" w:cs="宋体"/>
          <w:b/>
          <w:sz w:val="32"/>
          <w:szCs w:val="32"/>
        </w:rPr>
      </w:pPr>
    </w:p>
    <w:p>
      <w:pPr>
        <w:spacing w:line="480" w:lineRule="exact"/>
        <w:jc w:val="center"/>
        <w:outlineLvl w:val="2"/>
        <w:rPr>
          <w:rFonts w:hint="eastAsia" w:ascii="宋体" w:hAnsi="宋体" w:eastAsia="宋体" w:cs="宋体"/>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2.法定代表人身份证明</w:t>
      </w:r>
    </w:p>
    <w:p>
      <w:pPr>
        <w:spacing w:line="480" w:lineRule="exact"/>
        <w:ind w:firstLine="640" w:firstLineChars="200"/>
        <w:rPr>
          <w:rFonts w:hint="eastAsia" w:ascii="宋体" w:hAnsi="宋体" w:eastAsia="宋体" w:cs="宋体"/>
          <w:sz w:val="32"/>
          <w:szCs w:val="32"/>
        </w:rPr>
      </w:pPr>
    </w:p>
    <w:p>
      <w:pPr>
        <w:pStyle w:val="9"/>
        <w:spacing w:line="480" w:lineRule="exact"/>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单位名称：</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地    址：</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姓    名：</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性   别：</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年  龄：</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职  务：</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联系方式：</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系</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的法定代表人。为</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项目，签署上述招标申请文件、进行合同谈判、签署合同和处理与之有关的一切事务。</w:t>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特此证明</w:t>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申请人：</w:t>
      </w:r>
      <w:r>
        <w:rPr>
          <w:rFonts w:hint="eastAsia" w:ascii="宋体" w:hAnsi="宋体" w:eastAsia="宋体" w:cs="宋体"/>
          <w:sz w:val="32"/>
          <w:szCs w:val="32"/>
          <w:u w:val="single"/>
        </w:rPr>
        <w:t>（盖章）</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日    期：</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年</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月</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日</w:t>
      </w:r>
    </w:p>
    <w:tbl>
      <w:tblPr>
        <w:tblStyle w:val="18"/>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法定代表人身份证（正、反面）复印件</w:t>
            </w:r>
            <w:r>
              <w:rPr>
                <w:rFonts w:hint="eastAsia" w:ascii="宋体" w:hAnsi="宋体" w:eastAsia="宋体" w:cs="宋体"/>
                <w:b/>
                <w:bCs/>
                <w:sz w:val="32"/>
                <w:szCs w:val="32"/>
                <w:u w:val="single"/>
              </w:rPr>
              <w:t>（黏贴此处）</w:t>
            </w: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firstLine="646" w:firstLineChars="202"/>
              <w:jc w:val="left"/>
              <w:rPr>
                <w:rFonts w:hint="eastAsia" w:ascii="宋体" w:hAnsi="宋体" w:eastAsia="宋体" w:cs="宋体"/>
                <w:sz w:val="32"/>
                <w:szCs w:val="32"/>
              </w:rPr>
            </w:pPr>
          </w:p>
        </w:tc>
      </w:tr>
    </w:tbl>
    <w:p>
      <w:pPr>
        <w:snapToGrid w:val="0"/>
        <w:spacing w:line="480" w:lineRule="exact"/>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sz w:val="32"/>
          <w:szCs w:val="32"/>
        </w:rPr>
      </w:pPr>
    </w:p>
    <w:p>
      <w:pPr>
        <w:spacing w:line="480" w:lineRule="exact"/>
        <w:jc w:val="center"/>
        <w:outlineLvl w:val="2"/>
        <w:rPr>
          <w:rFonts w:hint="eastAsia" w:ascii="宋体" w:hAnsi="宋体" w:eastAsia="宋体" w:cs="宋体"/>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3.授权委托书（如需）</w:t>
      </w:r>
    </w:p>
    <w:p>
      <w:pPr>
        <w:snapToGrid w:val="0"/>
        <w:spacing w:line="480" w:lineRule="exact"/>
        <w:rPr>
          <w:rFonts w:hint="eastAsia" w:ascii="宋体" w:hAnsi="宋体" w:eastAsia="宋体" w:cs="宋体"/>
          <w:bCs/>
          <w:sz w:val="32"/>
          <w:szCs w:val="32"/>
        </w:rPr>
      </w:pPr>
      <w:r>
        <w:rPr>
          <w:rFonts w:hint="eastAsia" w:ascii="宋体" w:hAnsi="宋体" w:eastAsia="宋体" w:cs="宋体"/>
          <w:sz w:val="32"/>
          <w:szCs w:val="32"/>
        </w:rPr>
        <w:t>南通科技职业学院</w:t>
      </w:r>
      <w:r>
        <w:rPr>
          <w:rFonts w:hint="eastAsia" w:ascii="宋体" w:hAnsi="宋体" w:eastAsia="宋体" w:cs="宋体"/>
          <w:bCs/>
          <w:sz w:val="32"/>
          <w:szCs w:val="32"/>
        </w:rPr>
        <w:t>：</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本授权书宣告，在下面签字的</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以法定代表人身份代表本单位授权：</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 xml:space="preserve">为本单位的合法授权代表，授权其在 </w:t>
      </w:r>
      <w:r>
        <w:rPr>
          <w:rFonts w:hint="eastAsia" w:ascii="宋体" w:hAnsi="宋体" w:eastAsia="宋体" w:cs="宋体"/>
          <w:sz w:val="32"/>
          <w:szCs w:val="32"/>
          <w:u w:val="single"/>
        </w:rPr>
        <w:t xml:space="preserve">    项目</w:t>
      </w:r>
      <w:r>
        <w:rPr>
          <w:rFonts w:hint="eastAsia" w:ascii="宋体" w:hAnsi="宋体" w:eastAsia="宋体" w:cs="宋体"/>
          <w:sz w:val="32"/>
          <w:szCs w:val="32"/>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本委托书限期自 年 月 日起至 年 月 日止。</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授权代表无权转让委托权，特此委托。</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供应商(盖章)：</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法定代表人（</w:t>
      </w:r>
      <w:r>
        <w:rPr>
          <w:rFonts w:hint="eastAsia" w:ascii="宋体" w:hAnsi="宋体" w:eastAsia="宋体" w:cs="宋体"/>
          <w:sz w:val="32"/>
          <w:szCs w:val="32"/>
          <w:lang w:eastAsia="zh-Hans"/>
        </w:rPr>
        <w:t>签名或盖章）</w:t>
      </w:r>
      <w:r>
        <w:rPr>
          <w:rFonts w:hint="eastAsia" w:ascii="宋体" w:hAnsi="宋体" w:eastAsia="宋体" w:cs="宋体"/>
          <w:sz w:val="32"/>
          <w:szCs w:val="32"/>
        </w:rPr>
        <w:t>：</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授权委托人（</w:t>
      </w:r>
      <w:r>
        <w:rPr>
          <w:rFonts w:hint="eastAsia" w:ascii="宋体" w:hAnsi="宋体" w:eastAsia="宋体" w:cs="宋体"/>
          <w:sz w:val="32"/>
          <w:szCs w:val="32"/>
          <w:lang w:eastAsia="zh-Hans"/>
        </w:rPr>
        <w:t>签名）</w:t>
      </w:r>
      <w:r>
        <w:rPr>
          <w:rFonts w:hint="eastAsia" w:ascii="宋体" w:hAnsi="宋体" w:eastAsia="宋体" w:cs="宋体"/>
          <w:sz w:val="32"/>
          <w:szCs w:val="32"/>
        </w:rPr>
        <w:t>：</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联系方式：</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日    期：</w:t>
      </w:r>
    </w:p>
    <w:tbl>
      <w:tblPr>
        <w:tblStyle w:val="18"/>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80" w:lineRule="exact"/>
              <w:ind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授权委托人身份证（正、反面）复印件</w:t>
            </w:r>
            <w:r>
              <w:rPr>
                <w:rFonts w:hint="eastAsia" w:ascii="宋体" w:hAnsi="宋体" w:eastAsia="宋体" w:cs="宋体"/>
                <w:b/>
                <w:bCs/>
                <w:sz w:val="32"/>
                <w:szCs w:val="32"/>
                <w:u w:val="single"/>
              </w:rPr>
              <w:t>（黏贴此处）</w:t>
            </w:r>
          </w:p>
          <w:p>
            <w:pPr>
              <w:snapToGrid w:val="0"/>
              <w:spacing w:line="480" w:lineRule="exact"/>
              <w:jc w:val="center"/>
              <w:rPr>
                <w:rFonts w:hint="eastAsia" w:ascii="宋体" w:hAnsi="宋体" w:eastAsia="宋体" w:cs="宋体"/>
                <w:b/>
                <w:bCs/>
                <w:sz w:val="32"/>
                <w:szCs w:val="32"/>
              </w:rPr>
            </w:pPr>
          </w:p>
          <w:p>
            <w:pPr>
              <w:snapToGrid w:val="0"/>
              <w:spacing w:line="480" w:lineRule="exact"/>
              <w:jc w:val="center"/>
              <w:rPr>
                <w:rFonts w:hint="eastAsia" w:ascii="宋体" w:hAnsi="宋体" w:eastAsia="宋体" w:cs="宋体"/>
                <w:b/>
                <w:bCs/>
                <w:sz w:val="32"/>
                <w:szCs w:val="32"/>
              </w:rPr>
            </w:pPr>
          </w:p>
          <w:p>
            <w:pPr>
              <w:snapToGrid w:val="0"/>
              <w:spacing w:line="480" w:lineRule="exact"/>
              <w:jc w:val="center"/>
              <w:rPr>
                <w:rFonts w:hint="eastAsia" w:ascii="宋体" w:hAnsi="宋体" w:eastAsia="宋体" w:cs="宋体"/>
                <w:sz w:val="32"/>
                <w:szCs w:val="32"/>
              </w:rPr>
            </w:pPr>
          </w:p>
          <w:p>
            <w:pPr>
              <w:snapToGrid w:val="0"/>
              <w:spacing w:line="480" w:lineRule="exact"/>
              <w:jc w:val="center"/>
              <w:rPr>
                <w:rFonts w:hint="eastAsia" w:ascii="宋体" w:hAnsi="宋体" w:eastAsia="宋体" w:cs="宋体"/>
                <w:sz w:val="32"/>
                <w:szCs w:val="32"/>
              </w:rPr>
            </w:pPr>
          </w:p>
        </w:tc>
      </w:tr>
    </w:tbl>
    <w:p>
      <w:pPr>
        <w:snapToGrid w:val="0"/>
        <w:spacing w:line="480" w:lineRule="exact"/>
        <w:jc w:val="center"/>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kern w:val="0"/>
          <w:sz w:val="32"/>
          <w:szCs w:val="32"/>
        </w:rPr>
      </w:pPr>
    </w:p>
    <w:tbl>
      <w:tblPr>
        <w:tblStyle w:val="18"/>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法定代表人身份证（正、反面）复印件</w:t>
            </w:r>
            <w:r>
              <w:rPr>
                <w:rFonts w:hint="eastAsia" w:ascii="宋体" w:hAnsi="宋体" w:eastAsia="宋体" w:cs="宋体"/>
                <w:b/>
                <w:bCs/>
                <w:sz w:val="32"/>
                <w:szCs w:val="32"/>
                <w:u w:val="single"/>
              </w:rPr>
              <w:t>（黏贴此处）</w:t>
            </w: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firstLine="646" w:firstLineChars="202"/>
              <w:jc w:val="left"/>
              <w:rPr>
                <w:rFonts w:hint="eastAsia" w:ascii="宋体" w:hAnsi="宋体" w:eastAsia="宋体" w:cs="宋体"/>
                <w:sz w:val="32"/>
                <w:szCs w:val="32"/>
              </w:rPr>
            </w:pPr>
          </w:p>
        </w:tc>
      </w:tr>
    </w:tbl>
    <w:p>
      <w:pPr>
        <w:snapToGrid w:val="0"/>
        <w:spacing w:line="480" w:lineRule="exact"/>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sz w:val="32"/>
          <w:szCs w:val="32"/>
        </w:rPr>
      </w:pPr>
    </w:p>
    <w:p>
      <w:pPr>
        <w:kinsoku w:val="0"/>
        <w:topLinePunct/>
        <w:autoSpaceDE w:val="0"/>
        <w:autoSpaceDN w:val="0"/>
        <w:spacing w:line="480" w:lineRule="exact"/>
        <w:ind w:right="210" w:firstLine="599" w:firstLineChars="187"/>
        <w:jc w:val="center"/>
        <w:textAlignment w:val="baseline"/>
        <w:rPr>
          <w:rFonts w:hint="eastAsia" w:ascii="宋体" w:hAnsi="宋体" w:eastAsia="宋体" w:cs="宋体"/>
          <w:b/>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4.</w:t>
      </w:r>
      <w:r>
        <w:rPr>
          <w:rFonts w:hint="eastAsia" w:ascii="宋体" w:hAnsi="宋体" w:eastAsia="宋体" w:cs="宋体"/>
          <w:b/>
          <w:sz w:val="32"/>
          <w:szCs w:val="32"/>
        </w:rPr>
        <w:t>无重大违法记录声明</w:t>
      </w:r>
    </w:p>
    <w:p>
      <w:pPr>
        <w:snapToGrid w:val="0"/>
        <w:spacing w:line="480" w:lineRule="exact"/>
        <w:rPr>
          <w:rFonts w:hint="eastAsia" w:ascii="宋体" w:hAnsi="宋体" w:eastAsia="宋体" w:cs="宋体"/>
          <w:bCs/>
          <w:sz w:val="32"/>
          <w:szCs w:val="32"/>
        </w:rPr>
      </w:pPr>
      <w:r>
        <w:rPr>
          <w:rFonts w:hint="eastAsia" w:ascii="宋体" w:hAnsi="宋体" w:eastAsia="宋体" w:cs="宋体"/>
          <w:sz w:val="32"/>
          <w:szCs w:val="32"/>
        </w:rPr>
        <w:t>南通科技职业学院</w:t>
      </w:r>
      <w:r>
        <w:rPr>
          <w:rFonts w:hint="eastAsia" w:ascii="宋体" w:hAnsi="宋体" w:eastAsia="宋体" w:cs="宋体"/>
          <w:bCs/>
          <w:sz w:val="32"/>
          <w:szCs w:val="32"/>
        </w:rPr>
        <w:t>：</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我公司郑重声明：参加本次采购活动前 3 年内，我公司在经营活动中</w:t>
      </w:r>
      <w:r>
        <w:rPr>
          <w:rFonts w:hint="eastAsia" w:ascii="宋体" w:hAnsi="宋体" w:eastAsia="宋体" w:cs="宋体"/>
          <w:sz w:val="32"/>
          <w:szCs w:val="32"/>
          <w:u w:val="single"/>
        </w:rPr>
        <w:t xml:space="preserve">  </w:t>
      </w:r>
      <w:r>
        <w:rPr>
          <w:rFonts w:hint="eastAsia" w:ascii="宋体" w:hAnsi="宋体" w:eastAsia="宋体" w:cs="宋体"/>
          <w:b/>
          <w:bCs/>
          <w:sz w:val="32"/>
          <w:szCs w:val="32"/>
          <w:u w:val="single"/>
        </w:rPr>
        <w:t>（填写：有或没有）</w:t>
      </w:r>
      <w:r>
        <w:rPr>
          <w:rFonts w:hint="eastAsia" w:ascii="宋体" w:hAnsi="宋体" w:eastAsia="宋体" w:cs="宋体"/>
          <w:sz w:val="32"/>
          <w:szCs w:val="32"/>
        </w:rPr>
        <w:t>因违法经营受到刑事处罚或者责令停产停业、吊销许可证或者执照、较大数额罚款等行政处罚。</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hint="eastAsia" w:ascii="宋体" w:hAnsi="宋体" w:eastAsia="宋体" w:cs="宋体"/>
          <w:sz w:val="32"/>
          <w:szCs w:val="32"/>
        </w:rPr>
      </w:pPr>
    </w:p>
    <w:p>
      <w:pPr>
        <w:snapToGrid w:val="0"/>
        <w:spacing w:line="480" w:lineRule="exact"/>
        <w:ind w:firstLine="3840" w:firstLineChars="1200"/>
        <w:jc w:val="left"/>
        <w:rPr>
          <w:rFonts w:hint="eastAsia" w:ascii="宋体" w:hAnsi="宋体" w:eastAsia="宋体" w:cs="宋体"/>
          <w:sz w:val="32"/>
          <w:szCs w:val="32"/>
        </w:rPr>
      </w:pPr>
      <w:r>
        <w:rPr>
          <w:rFonts w:hint="eastAsia" w:ascii="宋体" w:hAnsi="宋体" w:eastAsia="宋体" w:cs="宋体"/>
          <w:sz w:val="32"/>
          <w:szCs w:val="32"/>
        </w:rPr>
        <w:t>法定代表人或授权委托人（签字</w:t>
      </w:r>
      <w:r>
        <w:rPr>
          <w:rFonts w:hint="eastAsia" w:ascii="宋体" w:hAnsi="宋体" w:eastAsia="宋体" w:cs="宋体"/>
          <w:sz w:val="32"/>
          <w:szCs w:val="32"/>
          <w:lang w:eastAsia="zh-Hans"/>
        </w:rPr>
        <w:t>或盖章）</w:t>
      </w:r>
      <w:r>
        <w:rPr>
          <w:rFonts w:hint="eastAsia" w:ascii="宋体" w:hAnsi="宋体" w:eastAsia="宋体" w:cs="宋体"/>
          <w:sz w:val="32"/>
          <w:szCs w:val="32"/>
        </w:rPr>
        <w:t>：</w:t>
      </w:r>
    </w:p>
    <w:p>
      <w:pPr>
        <w:snapToGrid w:val="0"/>
        <w:spacing w:line="480" w:lineRule="exact"/>
        <w:ind w:firstLine="3840" w:firstLineChars="1200"/>
        <w:jc w:val="left"/>
        <w:rPr>
          <w:rFonts w:hint="eastAsia" w:ascii="宋体" w:hAnsi="宋体" w:eastAsia="宋体" w:cs="宋体"/>
          <w:sz w:val="32"/>
          <w:szCs w:val="32"/>
        </w:rPr>
      </w:pPr>
      <w:r>
        <w:rPr>
          <w:rFonts w:hint="eastAsia" w:ascii="宋体" w:hAnsi="宋体" w:eastAsia="宋体" w:cs="宋体"/>
          <w:sz w:val="32"/>
          <w:szCs w:val="32"/>
        </w:rPr>
        <w:t>供应商名称（盖章）：</w:t>
      </w:r>
    </w:p>
    <w:p>
      <w:pPr>
        <w:snapToGrid w:val="0"/>
        <w:spacing w:line="480" w:lineRule="exact"/>
        <w:ind w:firstLine="3840" w:firstLineChars="1200"/>
        <w:jc w:val="left"/>
        <w:rPr>
          <w:rFonts w:hint="eastAsia" w:ascii="宋体" w:hAnsi="宋体" w:eastAsia="宋体" w:cs="宋体"/>
          <w:sz w:val="32"/>
          <w:szCs w:val="32"/>
        </w:rPr>
      </w:pPr>
      <w:bookmarkStart w:id="11" w:name="_Toc12794"/>
      <w:r>
        <w:rPr>
          <w:rFonts w:hint="eastAsia" w:ascii="宋体" w:hAnsi="宋体" w:eastAsia="宋体" w:cs="宋体"/>
          <w:sz w:val="32"/>
          <w:szCs w:val="32"/>
        </w:rPr>
        <w:t>日期：</w:t>
      </w:r>
      <w:bookmarkEnd w:id="11"/>
    </w:p>
    <w:p>
      <w:pPr>
        <w:adjustRightInd w:val="0"/>
        <w:snapToGrid w:val="0"/>
        <w:spacing w:line="480" w:lineRule="exact"/>
        <w:jc w:val="center"/>
        <w:rPr>
          <w:rFonts w:hint="eastAsia" w:ascii="宋体" w:hAnsi="宋体" w:eastAsia="宋体" w:cs="宋体"/>
          <w:sz w:val="32"/>
          <w:szCs w:val="32"/>
        </w:rPr>
      </w:pPr>
    </w:p>
    <w:p>
      <w:pPr>
        <w:kinsoku w:val="0"/>
        <w:topLinePunct/>
        <w:snapToGrid w:val="0"/>
        <w:spacing w:line="480" w:lineRule="exact"/>
        <w:ind w:firstLine="10880" w:firstLineChars="3400"/>
        <w:rPr>
          <w:rFonts w:hint="eastAsia" w:ascii="宋体" w:hAnsi="宋体" w:eastAsia="宋体" w:cs="宋体"/>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adjustRightInd w:val="0"/>
        <w:snapToGrid w:val="0"/>
        <w:spacing w:line="480" w:lineRule="exact"/>
        <w:outlineLvl w:val="2"/>
        <w:rPr>
          <w:rFonts w:hint="eastAsia" w:ascii="宋体" w:hAnsi="宋体" w:eastAsia="宋体" w:cs="宋体"/>
          <w:b/>
          <w:sz w:val="32"/>
          <w:szCs w:val="32"/>
        </w:rPr>
      </w:pPr>
      <w:r>
        <w:rPr>
          <w:rFonts w:hint="eastAsia" w:ascii="宋体" w:hAnsi="宋体" w:eastAsia="宋体" w:cs="宋体"/>
          <w:b/>
          <w:sz w:val="32"/>
          <w:szCs w:val="32"/>
        </w:rPr>
        <w:t>B、技术招标响应文件</w:t>
      </w:r>
      <w:r>
        <w:rPr>
          <w:rFonts w:hint="eastAsia" w:ascii="宋体" w:hAnsi="宋体" w:eastAsia="宋体" w:cs="宋体"/>
          <w:sz w:val="32"/>
          <w:szCs w:val="32"/>
        </w:rPr>
        <w:t>（一个密封包，含一正两副文件）</w:t>
      </w:r>
    </w:p>
    <w:p>
      <w:pPr>
        <w:spacing w:line="480" w:lineRule="exact"/>
        <w:ind w:firstLine="646" w:firstLineChars="202"/>
        <w:rPr>
          <w:rFonts w:hint="eastAsia" w:ascii="宋体" w:hAnsi="宋体" w:eastAsia="宋体" w:cs="宋体"/>
          <w:sz w:val="32"/>
          <w:szCs w:val="32"/>
          <w:u w:val="thick" w:color="FF0000"/>
        </w:rPr>
      </w:pPr>
      <w:r>
        <w:rPr>
          <w:rFonts w:hint="eastAsia" w:ascii="宋体" w:hAnsi="宋体" w:eastAsia="宋体" w:cs="宋体"/>
          <w:sz w:val="32"/>
          <w:szCs w:val="32"/>
        </w:rPr>
        <w:t>【特别提醒1】</w:t>
      </w:r>
      <w:r>
        <w:rPr>
          <w:rFonts w:hint="eastAsia" w:ascii="宋体" w:hAnsi="宋体" w:eastAsia="宋体" w:cs="宋体"/>
          <w:sz w:val="32"/>
          <w:szCs w:val="32"/>
          <w:u w:val="thick" w:color="FF0000"/>
        </w:rPr>
        <w:t>供应商应根据本标书第三章“项目需求”提供的主要技术规范，配置要求和货物产品标准等，仔细阅读并在理解的基础上结合第四章评审方法内的评审细则，编写编制技术响应文件</w:t>
      </w:r>
      <w:r>
        <w:rPr>
          <w:rFonts w:hint="eastAsia" w:ascii="宋体" w:hAnsi="宋体" w:eastAsia="宋体" w:cs="宋体"/>
          <w:sz w:val="32"/>
          <w:szCs w:val="32"/>
        </w:rPr>
        <w:t>。</w:t>
      </w:r>
    </w:p>
    <w:p>
      <w:pPr>
        <w:snapToGrid w:val="0"/>
        <w:spacing w:line="480" w:lineRule="exact"/>
        <w:jc w:val="center"/>
        <w:outlineLvl w:val="3"/>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kern w:val="0"/>
          <w:sz w:val="32"/>
          <w:szCs w:val="32"/>
        </w:rPr>
      </w:pPr>
      <w:r>
        <w:rPr>
          <w:rFonts w:hint="eastAsia" w:ascii="宋体" w:hAnsi="宋体" w:eastAsia="宋体" w:cs="宋体"/>
          <w:b/>
          <w:kern w:val="0"/>
          <w:sz w:val="32"/>
          <w:szCs w:val="32"/>
        </w:rPr>
        <w:t>1.商务部分正负偏离表</w:t>
      </w:r>
    </w:p>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（由供应商据实填写，表格不够自行添加）</w:t>
      </w:r>
    </w:p>
    <w:tbl>
      <w:tblPr>
        <w:tblStyle w:val="18"/>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采购文件要求的商务条款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7"/>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7"/>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7"/>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7"/>
              <w:spacing w:line="480" w:lineRule="exact"/>
              <w:rPr>
                <w:rFonts w:hint="eastAsia" w:ascii="宋体" w:hAnsi="宋体" w:eastAsia="宋体" w:cs="宋体"/>
                <w:sz w:val="32"/>
                <w:szCs w:val="32"/>
              </w:rPr>
            </w:pPr>
          </w:p>
        </w:tc>
      </w:tr>
    </w:tbl>
    <w:p>
      <w:pPr>
        <w:pStyle w:val="7"/>
        <w:spacing w:line="480" w:lineRule="exact"/>
        <w:rPr>
          <w:rFonts w:hint="eastAsia" w:ascii="宋体" w:hAnsi="宋体" w:eastAsia="宋体" w:cs="宋体"/>
          <w:sz w:val="32"/>
          <w:szCs w:val="32"/>
        </w:rPr>
      </w:pPr>
      <w:r>
        <w:rPr>
          <w:rFonts w:hint="eastAsia" w:ascii="宋体" w:hAnsi="宋体" w:eastAsia="宋体" w:cs="宋体"/>
          <w:sz w:val="32"/>
          <w:szCs w:val="32"/>
        </w:rPr>
        <w:t>注：</w:t>
      </w:r>
    </w:p>
    <w:p>
      <w:pPr>
        <w:pStyle w:val="7"/>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1.供应商提交的响应文件中与采购文件第三章“项目需求”中的商务部分的要求，应逐条填列在偏离表中。如完全响应，可以空表列示。</w:t>
      </w:r>
    </w:p>
    <w:p>
      <w:pPr>
        <w:pStyle w:val="7"/>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2.“偏离说明”一栏选择“正偏离”、“负偏离”、“无偏离”进行填写。正偏离、负偏离、无偏离的确认，由评审小组认定。</w:t>
      </w:r>
    </w:p>
    <w:p>
      <w:pPr>
        <w:pStyle w:val="7"/>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3.供应商若提供其他增值服务，可以在表中自行据实填写。</w:t>
      </w:r>
    </w:p>
    <w:p>
      <w:pPr>
        <w:rPr>
          <w:rFonts w:hint="eastAsia" w:ascii="宋体" w:hAnsi="宋体" w:eastAsia="宋体" w:cs="宋体"/>
          <w:sz w:val="32"/>
          <w:szCs w:val="32"/>
        </w:rPr>
      </w:pPr>
      <w:r>
        <w:rPr>
          <w:rFonts w:hint="eastAsia" w:ascii="宋体" w:hAnsi="宋体" w:eastAsia="宋体" w:cs="宋体"/>
          <w:sz w:val="32"/>
          <w:szCs w:val="32"/>
        </w:rPr>
        <w:br w:type="page"/>
      </w:r>
    </w:p>
    <w:p>
      <w:pPr>
        <w:snapToGrid w:val="0"/>
        <w:spacing w:line="480" w:lineRule="exact"/>
        <w:contextualSpacing/>
        <w:jc w:val="center"/>
        <w:rPr>
          <w:rFonts w:hint="eastAsia" w:ascii="宋体" w:hAnsi="宋体" w:eastAsia="宋体" w:cs="宋体"/>
          <w:b/>
          <w:kern w:val="0"/>
          <w:sz w:val="32"/>
          <w:szCs w:val="32"/>
        </w:rPr>
      </w:pPr>
      <w:r>
        <w:rPr>
          <w:rFonts w:hint="eastAsia" w:ascii="宋体" w:hAnsi="宋体" w:eastAsia="宋体" w:cs="宋体"/>
          <w:b/>
          <w:kern w:val="0"/>
          <w:sz w:val="32"/>
          <w:szCs w:val="32"/>
        </w:rPr>
        <w:t>2.技术部分正负偏离表</w:t>
      </w:r>
    </w:p>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（由供应商据实填写，表格不够自行添加）</w:t>
      </w:r>
    </w:p>
    <w:tbl>
      <w:tblPr>
        <w:tblStyle w:val="18"/>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采购文件要求的技术条款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7"/>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7"/>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7"/>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7"/>
              <w:spacing w:line="480" w:lineRule="exact"/>
              <w:jc w:val="center"/>
              <w:rPr>
                <w:rFonts w:hint="eastAsia" w:ascii="宋体" w:hAnsi="宋体" w:eastAsia="宋体" w:cs="宋体"/>
                <w:sz w:val="32"/>
                <w:szCs w:val="32"/>
              </w:rPr>
            </w:pPr>
            <w:r>
              <w:rPr>
                <w:rFonts w:hint="eastAsia" w:ascii="宋体" w:hAnsi="宋体" w:eastAsia="宋体" w:cs="宋体"/>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7"/>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7"/>
              <w:spacing w:line="480" w:lineRule="exact"/>
              <w:rPr>
                <w:rFonts w:hint="eastAsia" w:ascii="宋体" w:hAnsi="宋体" w:eastAsia="宋体" w:cs="宋体"/>
                <w:sz w:val="32"/>
                <w:szCs w:val="32"/>
              </w:rPr>
            </w:pPr>
          </w:p>
        </w:tc>
      </w:tr>
    </w:tbl>
    <w:p>
      <w:pPr>
        <w:pStyle w:val="7"/>
        <w:spacing w:line="480" w:lineRule="exact"/>
        <w:rPr>
          <w:rFonts w:hint="eastAsia" w:ascii="宋体" w:hAnsi="宋体" w:eastAsia="宋体" w:cs="宋体"/>
          <w:sz w:val="32"/>
          <w:szCs w:val="32"/>
        </w:rPr>
      </w:pPr>
      <w:r>
        <w:rPr>
          <w:rFonts w:hint="eastAsia" w:ascii="宋体" w:hAnsi="宋体" w:eastAsia="宋体" w:cs="宋体"/>
          <w:sz w:val="32"/>
          <w:szCs w:val="32"/>
        </w:rPr>
        <w:t>注：</w:t>
      </w:r>
    </w:p>
    <w:p>
      <w:pPr>
        <w:pStyle w:val="7"/>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1.供应商提交的响应文件中与采购文件第三章“项目需求”中的技术部分的要求，应逐条填列在偏离表中。如完全响应，可以空表列示。</w:t>
      </w:r>
    </w:p>
    <w:p>
      <w:pPr>
        <w:pStyle w:val="7"/>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2.“偏离说明”一栏选择“正偏离”、“负偏离”、“无偏离”进行填写。正偏离、负偏离、无偏离的确认，由评审小组认定。</w:t>
      </w:r>
    </w:p>
    <w:p>
      <w:pPr>
        <w:pStyle w:val="7"/>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3.供应商若提供其他增值服务，可以在表中自行据实填写。</w:t>
      </w:r>
    </w:p>
    <w:p>
      <w:pPr>
        <w:rPr>
          <w:rFonts w:hint="eastAsia" w:ascii="宋体" w:hAnsi="宋体" w:eastAsia="宋体" w:cs="宋体"/>
        </w:rPr>
      </w:pPr>
    </w:p>
    <w:p>
      <w:pPr>
        <w:pStyle w:val="7"/>
        <w:spacing w:line="480" w:lineRule="exact"/>
        <w:rPr>
          <w:rFonts w:hint="eastAsia" w:ascii="宋体" w:hAnsi="宋体" w:eastAsia="宋体" w:cs="宋体"/>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snapToGrid w:val="0"/>
        <w:spacing w:line="480" w:lineRule="exact"/>
        <w:outlineLvl w:val="2"/>
        <w:rPr>
          <w:rFonts w:hint="eastAsia" w:ascii="宋体" w:hAnsi="宋体" w:eastAsia="宋体" w:cs="宋体"/>
          <w:b/>
          <w:sz w:val="32"/>
          <w:szCs w:val="32"/>
        </w:rPr>
      </w:pPr>
      <w:r>
        <w:rPr>
          <w:rFonts w:hint="eastAsia" w:ascii="宋体" w:hAnsi="宋体" w:eastAsia="宋体" w:cs="宋体"/>
          <w:b/>
          <w:sz w:val="32"/>
          <w:szCs w:val="32"/>
        </w:rPr>
        <w:t>（C） 商务标响应文件</w:t>
      </w:r>
      <w:r>
        <w:rPr>
          <w:rFonts w:hint="eastAsia" w:ascii="宋体" w:hAnsi="宋体" w:eastAsia="宋体" w:cs="宋体"/>
          <w:sz w:val="32"/>
          <w:szCs w:val="32"/>
        </w:rPr>
        <w:t>（一个密封包，含一正两副文件）</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商务标响应文件中的报价，包括本比选文件规定涵盖的所有招标范围及相应说明的全部内容涉及到的费用。本次招标项目的商务付款方式要求，必须完全响应不得有任何负偏离，且不接受任何意在更改的说明，否则作无效响应处理。供应商成交后如据此提出疑义，不履行签订合同等下一步工作，采购人有权取消其成交资格。</w:t>
      </w: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sz w:val="32"/>
          <w:szCs w:val="32"/>
        </w:rPr>
        <w:t>1、</w:t>
      </w:r>
      <w:r>
        <w:rPr>
          <w:rFonts w:hint="eastAsia" w:ascii="宋体" w:hAnsi="宋体" w:eastAsia="宋体" w:cs="宋体"/>
          <w:b/>
          <w:bCs/>
          <w:sz w:val="32"/>
          <w:szCs w:val="32"/>
        </w:rPr>
        <w:t>报价总表</w:t>
      </w:r>
    </w:p>
    <w:tbl>
      <w:tblPr>
        <w:tblStyle w:val="18"/>
        <w:tblW w:w="10039" w:type="dxa"/>
        <w:tblInd w:w="0" w:type="dxa"/>
        <w:tblLayout w:type="fixed"/>
        <w:tblCellMar>
          <w:top w:w="0" w:type="dxa"/>
          <w:left w:w="108" w:type="dxa"/>
          <w:bottom w:w="0" w:type="dxa"/>
          <w:right w:w="108" w:type="dxa"/>
        </w:tblCellMar>
      </w:tblPr>
      <w:tblGrid>
        <w:gridCol w:w="993"/>
        <w:gridCol w:w="1842"/>
        <w:gridCol w:w="1684"/>
        <w:gridCol w:w="1320"/>
        <w:gridCol w:w="2040"/>
        <w:gridCol w:w="2160"/>
      </w:tblGrid>
      <w:tr>
        <w:trPr>
          <w:trHeight w:val="400" w:hRule="atLeast"/>
        </w:trPr>
        <w:tc>
          <w:tcPr>
            <w:tcW w:w="99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84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名称</w:t>
            </w:r>
          </w:p>
        </w:tc>
        <w:tc>
          <w:tcPr>
            <w:tcW w:w="1684"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单位</w:t>
            </w:r>
          </w:p>
        </w:tc>
        <w:tc>
          <w:tcPr>
            <w:tcW w:w="1320"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数量</w:t>
            </w:r>
          </w:p>
        </w:tc>
        <w:tc>
          <w:tcPr>
            <w:tcW w:w="2040"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投标单价（元）</w:t>
            </w:r>
          </w:p>
        </w:tc>
        <w:tc>
          <w:tcPr>
            <w:tcW w:w="2160"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小计</w:t>
            </w:r>
            <w:r>
              <w:rPr>
                <w:rFonts w:hint="eastAsia" w:ascii="宋体" w:hAnsi="宋体" w:eastAsia="宋体" w:cs="宋体"/>
                <w:color w:val="000000"/>
                <w:kern w:val="0"/>
                <w:sz w:val="28"/>
                <w:szCs w:val="28"/>
              </w:rPr>
              <w:t>（元）</w:t>
            </w:r>
          </w:p>
        </w:tc>
      </w:tr>
      <w:tr>
        <w:trPr>
          <w:trHeight w:val="400" w:hRule="atLeast"/>
        </w:trPr>
        <w:tc>
          <w:tcPr>
            <w:tcW w:w="993" w:type="dxa"/>
            <w:tcBorders>
              <w:top w:val="nil"/>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842" w:type="dxa"/>
            <w:tcBorders>
              <w:top w:val="nil"/>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商务数据分析赛课融通平台</w:t>
            </w:r>
          </w:p>
        </w:tc>
        <w:tc>
          <w:tcPr>
            <w:tcW w:w="1684" w:type="dxa"/>
            <w:tcBorders>
              <w:top w:val="nil"/>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套</w:t>
            </w:r>
          </w:p>
        </w:tc>
        <w:tc>
          <w:tcPr>
            <w:tcW w:w="1320" w:type="dxa"/>
            <w:tcBorders>
              <w:top w:val="nil"/>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2040" w:type="dxa"/>
            <w:tcBorders>
              <w:top w:val="nil"/>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p>
        </w:tc>
        <w:tc>
          <w:tcPr>
            <w:tcW w:w="2160" w:type="dxa"/>
            <w:tcBorders>
              <w:top w:val="nil"/>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p>
        </w:tc>
      </w:tr>
      <w:tr>
        <w:trPr>
          <w:trHeight w:val="400" w:hRule="atLeast"/>
        </w:trPr>
        <w:tc>
          <w:tcPr>
            <w:tcW w:w="10039"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240" w:firstLineChars="8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合计：                 元</w:t>
            </w:r>
          </w:p>
          <w:p>
            <w:pPr>
              <w:widowControl/>
              <w:ind w:firstLine="2240" w:firstLineChars="800"/>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大写：                 元</w:t>
            </w:r>
          </w:p>
        </w:tc>
      </w:tr>
    </w:tbl>
    <w:p>
      <w:pPr>
        <w:keepNext w:val="0"/>
        <w:keepLines w:val="0"/>
        <w:pageBreakBefore w:val="0"/>
        <w:widowControl/>
        <w:kinsoku/>
        <w:wordWrap/>
        <w:overflowPunct/>
        <w:topLinePunct w:val="0"/>
        <w:autoSpaceDE/>
        <w:autoSpaceDN/>
        <w:bidi w:val="0"/>
        <w:adjustRightInd/>
        <w:spacing w:line="480" w:lineRule="exact"/>
        <w:ind w:firstLine="4160" w:firstLineChars="1300"/>
        <w:jc w:val="left"/>
        <w:textAlignment w:val="auto"/>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单位法人</w:t>
      </w:r>
      <w:r>
        <w:rPr>
          <w:rFonts w:hint="eastAsia" w:ascii="宋体" w:hAnsi="宋体" w:eastAsia="宋体" w:cs="宋体"/>
          <w:color w:val="000000"/>
          <w:kern w:val="0"/>
          <w:sz w:val="32"/>
          <w:szCs w:val="32"/>
          <w:lang w:eastAsia="zh-CN"/>
        </w:rPr>
        <w:t>（</w:t>
      </w:r>
      <w:r>
        <w:rPr>
          <w:rFonts w:hint="eastAsia" w:ascii="宋体" w:hAnsi="宋体" w:eastAsia="宋体" w:cs="宋体"/>
          <w:color w:val="000000"/>
          <w:kern w:val="0"/>
          <w:sz w:val="32"/>
          <w:szCs w:val="32"/>
        </w:rPr>
        <w:t>签字</w:t>
      </w:r>
      <w:r>
        <w:rPr>
          <w:rFonts w:hint="eastAsia" w:ascii="宋体" w:hAnsi="宋体" w:eastAsia="宋体" w:cs="宋体"/>
          <w:color w:val="000000"/>
          <w:kern w:val="0"/>
          <w:sz w:val="32"/>
          <w:szCs w:val="32"/>
          <w:lang w:eastAsia="zh-CN"/>
        </w:rPr>
        <w:t>或盖章）</w:t>
      </w:r>
      <w:r>
        <w:rPr>
          <w:rFonts w:hint="eastAsia" w:ascii="宋体" w:hAnsi="宋体" w:eastAsia="宋体" w:cs="宋体"/>
          <w:color w:val="000000"/>
          <w:kern w:val="0"/>
          <w:sz w:val="32"/>
          <w:szCs w:val="32"/>
        </w:rPr>
        <w:t>：</w:t>
      </w:r>
    </w:p>
    <w:p>
      <w:pPr>
        <w:keepNext w:val="0"/>
        <w:keepLines w:val="0"/>
        <w:pageBreakBefore w:val="0"/>
        <w:kinsoku/>
        <w:wordWrap/>
        <w:overflowPunct/>
        <w:topLinePunct w:val="0"/>
        <w:autoSpaceDE/>
        <w:autoSpaceDN/>
        <w:bidi w:val="0"/>
        <w:adjustRightInd/>
        <w:spacing w:before="240" w:line="480" w:lineRule="exact"/>
        <w:jc w:val="center"/>
        <w:textAlignment w:val="auto"/>
        <w:rPr>
          <w:rFonts w:hint="eastAsia" w:ascii="宋体" w:hAnsi="宋体" w:eastAsia="宋体" w:cs="宋体"/>
          <w:color w:val="000000"/>
          <w:kern w:val="0"/>
          <w:sz w:val="32"/>
          <w:szCs w:val="32"/>
          <w:lang w:eastAsia="zh-CN"/>
        </w:rPr>
      </w:pP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32"/>
          <w:szCs w:val="32"/>
        </w:rPr>
        <w:t>单位名称（公章）：</w:t>
      </w: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hint="eastAsia" w:ascii="宋体" w:hAnsi="宋体" w:eastAsia="宋体" w:cs="宋体"/>
          <w:color w:val="000000"/>
          <w:kern w:val="0"/>
          <w:sz w:val="32"/>
          <w:szCs w:val="32"/>
          <w:lang w:eastAsia="zh-CN"/>
        </w:rPr>
      </w:pP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32"/>
          <w:szCs w:val="32"/>
          <w:lang w:eastAsia="zh-CN"/>
        </w:rPr>
        <w:t>日期：</w:t>
      </w:r>
    </w:p>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sz w:val="32"/>
          <w:szCs w:val="32"/>
        </w:rPr>
      </w:pPr>
    </w:p>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sz w:val="32"/>
          <w:szCs w:val="32"/>
        </w:rPr>
      </w:pPr>
      <w:r>
        <w:rPr>
          <w:rFonts w:hint="eastAsia" w:ascii="宋体" w:hAnsi="宋体" w:eastAsia="宋体" w:cs="宋体"/>
          <w:b/>
          <w:sz w:val="32"/>
          <w:szCs w:val="32"/>
        </w:rPr>
        <w:t>特别说明：</w:t>
      </w:r>
    </w:p>
    <w:p>
      <w:pPr>
        <w:ind w:firstLine="640" w:firstLineChars="200"/>
        <w:rPr>
          <w:rFonts w:hint="eastAsia" w:ascii="宋体" w:hAnsi="宋体" w:eastAsia="宋体" w:cs="宋体"/>
        </w:rPr>
      </w:pPr>
      <w:r>
        <w:rPr>
          <w:rFonts w:hint="eastAsia" w:ascii="宋体" w:hAnsi="宋体" w:eastAsia="宋体" w:cs="宋体"/>
          <w:b w:val="0"/>
          <w:bCs w:val="0"/>
          <w:color w:val="000000"/>
          <w:kern w:val="0"/>
          <w:sz w:val="32"/>
          <w:szCs w:val="32"/>
          <w:highlight w:val="none"/>
          <w:lang w:val="en-US" w:eastAsia="zh-CN"/>
        </w:rPr>
        <w:t>1.投标报价包含完成本项目的所有费用，包含但不限于设计费、制作费、材料费（包含主料、辅料等）、运输费、人工费、利润、税金等一切费用。</w:t>
      </w:r>
    </w:p>
    <w:sectPr>
      <w:headerReference r:id="rId3" w:type="default"/>
      <w:footerReference r:id="rId4" w:type="default"/>
      <w:pgSz w:w="11906" w:h="16838"/>
      <w:pgMar w:top="1134" w:right="851" w:bottom="851" w:left="851" w:header="851" w:footer="176" w:gutter="0"/>
      <w:cols w:space="720" w:num="1"/>
      <w:titlePg/>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_GB2312">
    <w:altName w:val="汉仪楷体简"/>
    <w:panose1 w:val="00000000000000000000"/>
    <w:charset w:val="86"/>
    <w:family w:val="modern"/>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创艺简仿宋">
    <w:altName w:val="方正仿宋_GBK"/>
    <w:panose1 w:val="00000000000000000000"/>
    <w:charset w:val="86"/>
    <w:family w:val="auto"/>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jc w:val="center"/>
    </w:pPr>
    <w:r>
      <w:rPr>
        <w:rFonts w:hint="eastAsia"/>
      </w:rPr>
      <w:t>【</w:t>
    </w:r>
    <w:r>
      <w:t>第</w:t>
    </w: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页/共</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r>
      <w:rPr>
        <w:lang w:val="zh-CN"/>
      </w:rPr>
      <w:t>页</w:t>
    </w:r>
    <w:r>
      <w:rPr>
        <w:rFonts w:hint="eastAsia"/>
        <w:lang w:val="zh-CN"/>
      </w:rPr>
      <w:t>】</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rPr>
        <w:rFonts w:ascii="宋体" w:hAnsi="宋体" w:cs="宋体"/>
      </w:rPr>
    </w:pPr>
  </w:p>
  <w:p>
    <w:pPr>
      <w:pStyle w:val="13"/>
      <w:pBdr>
        <w:bottom w:val="none" w:color="auto" w:sz="0" w:space="0"/>
      </w:pBdr>
      <w:jc w:val="right"/>
    </w:pPr>
    <w:r>
      <mc:AlternateContent>
        <mc:Choice Requires="wps">
          <w:drawing>
            <wp:anchor distT="0" distB="0" distL="114300" distR="114300" simplePos="0" relativeHeight="251659264" behindDoc="0" locked="0" layoutInCell="1" allowOverlap="1">
              <wp:simplePos x="0" y="0"/>
              <wp:positionH relativeFrom="column">
                <wp:posOffset>3258820</wp:posOffset>
              </wp:positionH>
              <wp:positionV relativeFrom="paragraph">
                <wp:posOffset>233045</wp:posOffset>
              </wp:positionV>
              <wp:extent cx="2965450" cy="241935"/>
              <wp:effectExtent l="0" t="0" r="0" b="0"/>
              <wp:wrapNone/>
              <wp:docPr id="2"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2965450" cy="241935"/>
                      </a:xfrm>
                      <a:prstGeom prst="rect">
                        <a:avLst/>
                      </a:prstGeom>
                      <a:noFill/>
                      <a:ln>
                        <a:noFill/>
                      </a:ln>
                      <a:effectLst/>
                    </wps:spPr>
                    <wps:txbx>
                      <w:txbxContent>
                        <w:p>
                          <w:pPr>
                            <w:ind w:firstLine="360" w:firstLineChars="200"/>
                            <w:rPr>
                              <w:rFonts w:ascii="黑体" w:eastAsia="黑体"/>
                              <w:color w:val="00A99D"/>
                              <w:sz w:val="18"/>
                              <w:szCs w:val="18"/>
                            </w:rPr>
                          </w:pPr>
                        </w:p>
                      </w:txbxContent>
                    </wps:txbx>
                    <wps:bodyPr rot="0" vert="horz" wrap="square" lIns="91440" tIns="45720" rIns="91440" bIns="45720" anchor="t" anchorCtr="0" upright="1">
                      <a:noAutofit/>
                    </wps:bodyPr>
                  </wps:wsp>
                </a:graphicData>
              </a:graphic>
            </wp:anchor>
          </w:drawing>
        </mc:Choice>
        <mc:Fallback>
          <w:pict>
            <v:shape id="文本框 1044" o:spid="_x0000_s1026" o:spt="202" type="#_x0000_t202" style="position:absolute;left:0pt;margin-left:256.6pt;margin-top:18.35pt;height:19.05pt;width:233.5pt;z-index:251659264;mso-width-relative:page;mso-height-relative:page;" filled="f" stroked="f" coordsize="21600,21600" o:gfxdata="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pC0Jf1gAAAAkBAAAPAAAAAAAAAAEAIAAAADgAAABkcnMvZG93bnJldi54&#10;bWxQSwECFAAUAAAACACHTuJANwmyDR8CAAAmBAAADgAAAAAAAAABACAAAAA7AQAAZHJzL2Uyb0Rv&#10;Yy54bWxQSwUGAAAAAAYABgBZAQAAzAUAAAAA&#10;">
              <v:fill on="f" focussize="0,0"/>
              <v:stroke on="f"/>
              <v:imagedata o:title=""/>
              <o:lock v:ext="edit" aspectratio="f"/>
              <v:textbox>
                <w:txbxContent>
                  <w:p>
                    <w:pPr>
                      <w:ind w:firstLine="360" w:firstLineChars="200"/>
                      <w:rPr>
                        <w:rFonts w:ascii="黑体" w:eastAsia="黑体"/>
                        <w:color w:val="00A99D"/>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A68A4"/>
    <w:multiLevelType w:val="singleLevel"/>
    <w:tmpl w:val="7DDA68A4"/>
    <w:lvl w:ilvl="0" w:tentative="0">
      <w:start w:val="1"/>
      <w:numFmt w:val="decimal"/>
      <w:suff w:val="nothing"/>
      <w:lvlText w:val="%1、"/>
      <w:lvlJc w:val="left"/>
    </w:lvl>
  </w:abstractNum>
  <w:abstractNum w:abstractNumId="1">
    <w:nsid w:val="7FFB61A1"/>
    <w:multiLevelType w:val="singleLevel"/>
    <w:tmpl w:val="7FFB61A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OTFhMWRiZmU1NTg3N2E2MDBlMjBhNmY5ZjBhMTIifQ=="/>
  </w:docVars>
  <w:rsids>
    <w:rsidRoot w:val="597B1359"/>
    <w:rsid w:val="009916EC"/>
    <w:rsid w:val="06604E4C"/>
    <w:rsid w:val="06B86A37"/>
    <w:rsid w:val="06FF01C2"/>
    <w:rsid w:val="29803EE8"/>
    <w:rsid w:val="32DD31FD"/>
    <w:rsid w:val="336C3BFA"/>
    <w:rsid w:val="3C957F32"/>
    <w:rsid w:val="4BE62CCB"/>
    <w:rsid w:val="549C7AA6"/>
    <w:rsid w:val="597B1359"/>
    <w:rsid w:val="5B1E9EC0"/>
    <w:rsid w:val="5F2D7DDC"/>
    <w:rsid w:val="65827169"/>
    <w:rsid w:val="6E971ED7"/>
    <w:rsid w:val="72563E57"/>
    <w:rsid w:val="77FFFBAD"/>
    <w:rsid w:val="7B210503"/>
    <w:rsid w:val="7B29617C"/>
    <w:rsid w:val="F7DF4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99"/>
    <w:pPr>
      <w:keepNext/>
      <w:keepLines/>
      <w:overflowPunct w:val="0"/>
      <w:adjustRightInd w:val="0"/>
      <w:jc w:val="left"/>
      <w:textAlignment w:val="baseline"/>
      <w:outlineLvl w:val="1"/>
    </w:pPr>
    <w:rPr>
      <w:rFonts w:ascii="宋体" w:hAnsi="宋体"/>
      <w:b/>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style>
  <w:style w:type="paragraph" w:styleId="5">
    <w:name w:val="Normal Indent"/>
    <w:basedOn w:val="1"/>
    <w:qFormat/>
    <w:uiPriority w:val="0"/>
    <w:pPr>
      <w:adjustRightInd w:val="0"/>
      <w:ind w:firstLine="420"/>
      <w:jc w:val="left"/>
      <w:textAlignment w:val="baseline"/>
    </w:pPr>
    <w:rPr>
      <w:sz w:val="24"/>
    </w:rPr>
  </w:style>
  <w:style w:type="paragraph" w:styleId="6">
    <w:name w:val="annotation text"/>
    <w:basedOn w:val="1"/>
    <w:qFormat/>
    <w:uiPriority w:val="0"/>
    <w:pPr>
      <w:jc w:val="left"/>
    </w:pPr>
  </w:style>
  <w:style w:type="paragraph" w:styleId="7">
    <w:name w:val="Body Text"/>
    <w:basedOn w:val="1"/>
    <w:next w:val="8"/>
    <w:qFormat/>
    <w:uiPriority w:val="99"/>
    <w:pPr>
      <w:spacing w:line="400" w:lineRule="exact"/>
    </w:pPr>
    <w:rPr>
      <w:rFonts w:ascii="楷体_GB2312"/>
      <w:sz w:val="28"/>
    </w:rPr>
  </w:style>
  <w:style w:type="paragraph" w:styleId="8">
    <w:name w:val="Body Text 2"/>
    <w:basedOn w:val="1"/>
    <w:qFormat/>
    <w:uiPriority w:val="0"/>
    <w:rPr>
      <w:rFonts w:ascii="宋体" w:hAnsi="宋体" w:eastAsia="宋体"/>
      <w:sz w:val="24"/>
    </w:rPr>
  </w:style>
  <w:style w:type="paragraph" w:styleId="9">
    <w:name w:val="Body Text Indent"/>
    <w:basedOn w:val="1"/>
    <w:next w:val="1"/>
    <w:qFormat/>
    <w:uiPriority w:val="0"/>
    <w:pPr>
      <w:spacing w:line="520" w:lineRule="exact"/>
      <w:ind w:left="570"/>
    </w:pPr>
    <w:rPr>
      <w:rFonts w:ascii="方正仿宋简体" w:hAnsi="创艺简仿宋" w:eastAsia="方正仿宋简体"/>
      <w:sz w:val="24"/>
    </w:rPr>
  </w:style>
  <w:style w:type="paragraph" w:styleId="10">
    <w:name w:val="Plain Text"/>
    <w:basedOn w:val="1"/>
    <w:qFormat/>
    <w:uiPriority w:val="0"/>
    <w:rPr>
      <w:rFonts w:ascii="宋体" w:hAnsi="Courier New"/>
    </w:rPr>
  </w:style>
  <w:style w:type="paragraph" w:styleId="11">
    <w:name w:val="Body Text Indent 2"/>
    <w:basedOn w:val="1"/>
    <w:qFormat/>
    <w:uiPriority w:val="0"/>
    <w:pPr>
      <w:tabs>
        <w:tab w:val="left" w:pos="0"/>
      </w:tabs>
      <w:spacing w:line="360" w:lineRule="auto"/>
      <w:ind w:firstLine="502" w:firstLineChars="209"/>
    </w:pPr>
    <w:rPr>
      <w:rFonts w:ascii="宋体" w:eastAsia="宋体"/>
      <w:b/>
      <w:bCs/>
      <w:sz w:val="24"/>
    </w:rPr>
  </w:style>
  <w:style w:type="paragraph" w:styleId="12">
    <w:name w:val="footer"/>
    <w:basedOn w:val="1"/>
    <w:qFormat/>
    <w:uiPriority w:val="99"/>
    <w:pPr>
      <w:tabs>
        <w:tab w:val="center" w:pos="4153"/>
        <w:tab w:val="right" w:pos="8306"/>
      </w:tabs>
      <w:snapToGrid w:val="0"/>
      <w:jc w:val="left"/>
    </w:pPr>
    <w:rPr>
      <w:sz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pPr>
      <w:adjustRightInd w:val="0"/>
      <w:jc w:val="left"/>
      <w:textAlignment w:val="baseline"/>
    </w:pPr>
    <w:rPr>
      <w:sz w:val="24"/>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2"/>
    <w:basedOn w:val="9"/>
    <w:next w:val="1"/>
    <w:qFormat/>
    <w:uiPriority w:val="0"/>
    <w:pPr>
      <w:spacing w:after="120"/>
      <w:ind w:firstLine="200" w:firstLineChars="200"/>
    </w:pPr>
  </w:style>
  <w:style w:type="paragraph" w:customStyle="1" w:styleId="20">
    <w:name w:val="纯文本1"/>
    <w:basedOn w:val="1"/>
    <w:qFormat/>
    <w:uiPriority w:val="0"/>
    <w:pPr>
      <w:adjustRightInd w:val="0"/>
      <w:textAlignment w:val="baseline"/>
    </w:pPr>
    <w:rPr>
      <w:rFonts w:ascii="宋体" w:hAnsi="Courier New"/>
    </w:rPr>
  </w:style>
  <w:style w:type="paragraph" w:styleId="21">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2023-11-22T22:07:00Z</dcterms:created>
  <dc:creator>玲玲</dc:creator>
  <cp:lastModifiedBy>玲玲</cp:lastModifiedBy>
  <dcterms:modified xsi:type="dcterms:W3CDTF">2023-12-26T09:17:05Z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71B94AF928141EF63B495C65DA20FB8D_41</vt:lpwstr>
  </property>
</Properties>
</file>